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B767" w14:textId="77777777" w:rsidR="00711E44" w:rsidRDefault="00711E44" w:rsidP="005939CD">
      <w:pPr>
        <w:spacing w:after="0" w:line="240" w:lineRule="auto"/>
        <w:rPr>
          <w:rFonts w:ascii="Arial" w:hAnsi="Arial" w:cs="Arial"/>
          <w:b/>
          <w:sz w:val="23"/>
          <w:szCs w:val="23"/>
        </w:rPr>
      </w:pPr>
    </w:p>
    <w:p w14:paraId="09552AB8" w14:textId="63C8D5B0" w:rsidR="005939CD" w:rsidRPr="00C4598A" w:rsidRDefault="00C4598A" w:rsidP="005939CD">
      <w:pPr>
        <w:spacing w:after="0" w:line="240" w:lineRule="auto"/>
        <w:rPr>
          <w:rFonts w:ascii="Arial" w:hAnsi="Arial" w:cs="Arial"/>
          <w:b/>
          <w:sz w:val="23"/>
          <w:szCs w:val="23"/>
        </w:rPr>
      </w:pPr>
      <w:r w:rsidRPr="00C4598A">
        <w:rPr>
          <w:rFonts w:ascii="Arial" w:hAnsi="Arial" w:cs="Arial"/>
          <w:b/>
          <w:sz w:val="23"/>
          <w:szCs w:val="23"/>
        </w:rPr>
        <w:t>H</w:t>
      </w:r>
      <w:r w:rsidR="005939CD" w:rsidRPr="00C4598A">
        <w:rPr>
          <w:rFonts w:ascii="Arial" w:hAnsi="Arial" w:cs="Arial"/>
          <w:b/>
          <w:sz w:val="23"/>
          <w:szCs w:val="23"/>
        </w:rPr>
        <w:t>IV Pre-Exposure Prophylaxis</w:t>
      </w:r>
      <w:r w:rsidR="00FD6380">
        <w:rPr>
          <w:rFonts w:ascii="Arial" w:hAnsi="Arial" w:cs="Arial"/>
          <w:b/>
          <w:sz w:val="23"/>
          <w:szCs w:val="23"/>
        </w:rPr>
        <w:t xml:space="preserve"> (PrEP)</w:t>
      </w:r>
      <w:r w:rsidR="005939CD" w:rsidRPr="00C4598A">
        <w:rPr>
          <w:rFonts w:ascii="Arial" w:hAnsi="Arial" w:cs="Arial"/>
          <w:b/>
          <w:sz w:val="23"/>
          <w:szCs w:val="23"/>
        </w:rPr>
        <w:t xml:space="preserve"> guide for healthcare professionals working in a </w:t>
      </w:r>
      <w:r w:rsidR="00925F9C">
        <w:rPr>
          <w:rFonts w:ascii="Arial" w:hAnsi="Arial" w:cs="Arial"/>
          <w:b/>
          <w:sz w:val="23"/>
          <w:szCs w:val="23"/>
        </w:rPr>
        <w:t>P</w:t>
      </w:r>
      <w:r w:rsidR="00D31C8C" w:rsidRPr="00C4598A">
        <w:rPr>
          <w:rFonts w:ascii="Arial" w:hAnsi="Arial" w:cs="Arial"/>
          <w:b/>
          <w:sz w:val="23"/>
          <w:szCs w:val="23"/>
        </w:rPr>
        <w:t xml:space="preserve">rimary </w:t>
      </w:r>
      <w:r w:rsidR="00925F9C">
        <w:rPr>
          <w:rFonts w:ascii="Arial" w:hAnsi="Arial" w:cs="Arial"/>
          <w:b/>
          <w:sz w:val="23"/>
          <w:szCs w:val="23"/>
        </w:rPr>
        <w:t>C</w:t>
      </w:r>
      <w:r w:rsidR="00D31C8C" w:rsidRPr="00C4598A">
        <w:rPr>
          <w:rFonts w:ascii="Arial" w:hAnsi="Arial" w:cs="Arial"/>
          <w:b/>
          <w:sz w:val="23"/>
          <w:szCs w:val="23"/>
        </w:rPr>
        <w:t xml:space="preserve">are. </w:t>
      </w:r>
    </w:p>
    <w:p w14:paraId="23547A89" w14:textId="77777777" w:rsidR="005939CD" w:rsidRPr="00C4598A" w:rsidRDefault="005939CD" w:rsidP="005939CD">
      <w:pPr>
        <w:spacing w:after="0" w:line="240" w:lineRule="auto"/>
        <w:rPr>
          <w:rFonts w:ascii="Arial" w:hAnsi="Arial" w:cs="Arial"/>
          <w:b/>
          <w:sz w:val="20"/>
          <w:szCs w:val="20"/>
        </w:rPr>
      </w:pPr>
    </w:p>
    <w:p w14:paraId="086A0361" w14:textId="2B298402" w:rsidR="005939CD" w:rsidRPr="00C4598A" w:rsidRDefault="005939CD" w:rsidP="005939CD">
      <w:pPr>
        <w:spacing w:after="0" w:line="240" w:lineRule="auto"/>
        <w:rPr>
          <w:rFonts w:ascii="Arial" w:hAnsi="Arial" w:cs="Arial"/>
          <w:sz w:val="20"/>
          <w:szCs w:val="20"/>
        </w:rPr>
      </w:pPr>
      <w:r w:rsidRPr="00C4598A">
        <w:rPr>
          <w:rFonts w:ascii="Arial" w:hAnsi="Arial" w:cs="Arial"/>
          <w:sz w:val="20"/>
          <w:szCs w:val="20"/>
        </w:rPr>
        <w:t>T</w:t>
      </w:r>
      <w:r w:rsidR="007979CD">
        <w:rPr>
          <w:rFonts w:ascii="Arial" w:hAnsi="Arial" w:cs="Arial"/>
          <w:sz w:val="20"/>
          <w:szCs w:val="20"/>
        </w:rPr>
        <w:t>his</w:t>
      </w:r>
      <w:r w:rsidRPr="00C4598A">
        <w:rPr>
          <w:rFonts w:ascii="Arial" w:hAnsi="Arial" w:cs="Arial"/>
          <w:sz w:val="20"/>
          <w:szCs w:val="20"/>
        </w:rPr>
        <w:t xml:space="preserve"> document is </w:t>
      </w:r>
      <w:r w:rsidR="007979CD">
        <w:rPr>
          <w:rFonts w:ascii="Arial" w:hAnsi="Arial" w:cs="Arial"/>
          <w:sz w:val="20"/>
          <w:szCs w:val="20"/>
        </w:rPr>
        <w:t>to</w:t>
      </w:r>
      <w:r w:rsidRPr="00C4598A">
        <w:rPr>
          <w:rFonts w:ascii="Arial" w:hAnsi="Arial" w:cs="Arial"/>
          <w:sz w:val="20"/>
          <w:szCs w:val="20"/>
        </w:rPr>
        <w:t xml:space="preserve"> guide and support healthcare professionals</w:t>
      </w:r>
      <w:r w:rsidR="008779FD">
        <w:rPr>
          <w:rFonts w:ascii="Arial" w:hAnsi="Arial" w:cs="Arial"/>
          <w:sz w:val="20"/>
          <w:szCs w:val="20"/>
        </w:rPr>
        <w:t xml:space="preserve"> working in South East London (SEL)</w:t>
      </w:r>
      <w:r w:rsidR="00D31C8C" w:rsidRPr="00C4598A">
        <w:rPr>
          <w:rFonts w:ascii="Arial" w:hAnsi="Arial" w:cs="Arial"/>
          <w:sz w:val="20"/>
          <w:szCs w:val="20"/>
        </w:rPr>
        <w:t xml:space="preserve"> to</w:t>
      </w:r>
      <w:r w:rsidRPr="00C4598A">
        <w:rPr>
          <w:rFonts w:ascii="Arial" w:hAnsi="Arial" w:cs="Arial"/>
          <w:sz w:val="20"/>
          <w:szCs w:val="20"/>
        </w:rPr>
        <w:t xml:space="preserve"> discuss HIV </w:t>
      </w:r>
      <w:r w:rsidR="003944C4">
        <w:rPr>
          <w:rFonts w:ascii="Arial" w:hAnsi="Arial" w:cs="Arial"/>
          <w:sz w:val="20"/>
          <w:szCs w:val="20"/>
        </w:rPr>
        <w:t>P</w:t>
      </w:r>
      <w:r w:rsidRPr="00C4598A">
        <w:rPr>
          <w:rFonts w:ascii="Arial" w:hAnsi="Arial" w:cs="Arial"/>
          <w:sz w:val="20"/>
          <w:szCs w:val="20"/>
        </w:rPr>
        <w:t>re-</w:t>
      </w:r>
      <w:r w:rsidR="003944C4">
        <w:rPr>
          <w:rFonts w:ascii="Arial" w:hAnsi="Arial" w:cs="Arial"/>
          <w:sz w:val="20"/>
          <w:szCs w:val="20"/>
        </w:rPr>
        <w:t>E</w:t>
      </w:r>
      <w:r w:rsidRPr="00C4598A">
        <w:rPr>
          <w:rFonts w:ascii="Arial" w:hAnsi="Arial" w:cs="Arial"/>
          <w:sz w:val="20"/>
          <w:szCs w:val="20"/>
        </w:rPr>
        <w:t xml:space="preserve">xposure </w:t>
      </w:r>
      <w:r w:rsidR="003944C4">
        <w:rPr>
          <w:rFonts w:ascii="Arial" w:hAnsi="Arial" w:cs="Arial"/>
          <w:sz w:val="20"/>
          <w:szCs w:val="20"/>
        </w:rPr>
        <w:t>P</w:t>
      </w:r>
      <w:r w:rsidRPr="00C4598A">
        <w:rPr>
          <w:rFonts w:ascii="Arial" w:hAnsi="Arial" w:cs="Arial"/>
          <w:sz w:val="20"/>
          <w:szCs w:val="20"/>
        </w:rPr>
        <w:t xml:space="preserve">rophylaxis (PrEP) with people who </w:t>
      </w:r>
      <w:r w:rsidR="00D31C8C" w:rsidRPr="00C4598A">
        <w:rPr>
          <w:rFonts w:ascii="Arial" w:hAnsi="Arial" w:cs="Arial"/>
          <w:sz w:val="20"/>
          <w:szCs w:val="20"/>
        </w:rPr>
        <w:t>would potentially benefit from PrEP</w:t>
      </w:r>
      <w:r w:rsidR="00FD6380">
        <w:rPr>
          <w:rFonts w:ascii="Arial" w:hAnsi="Arial" w:cs="Arial"/>
          <w:sz w:val="20"/>
          <w:szCs w:val="20"/>
        </w:rPr>
        <w:t xml:space="preserve"> and</w:t>
      </w:r>
      <w:r w:rsidR="00D31C8C" w:rsidRPr="00C4598A">
        <w:rPr>
          <w:rFonts w:ascii="Arial" w:hAnsi="Arial" w:cs="Arial"/>
          <w:sz w:val="20"/>
          <w:szCs w:val="20"/>
        </w:rPr>
        <w:t xml:space="preserve"> to</w:t>
      </w:r>
      <w:r w:rsidR="00FD6380">
        <w:rPr>
          <w:rFonts w:ascii="Arial" w:hAnsi="Arial" w:cs="Arial"/>
          <w:sz w:val="20"/>
          <w:szCs w:val="20"/>
        </w:rPr>
        <w:t xml:space="preserve"> signpost</w:t>
      </w:r>
      <w:r w:rsidR="00D31C8C" w:rsidRPr="00C4598A">
        <w:rPr>
          <w:rFonts w:ascii="Arial" w:hAnsi="Arial" w:cs="Arial"/>
          <w:sz w:val="20"/>
          <w:szCs w:val="20"/>
        </w:rPr>
        <w:t xml:space="preserve"> them to sexual health clinics. </w:t>
      </w:r>
    </w:p>
    <w:p w14:paraId="66104FF7" w14:textId="77777777" w:rsidR="005939CD" w:rsidRPr="00C4598A" w:rsidRDefault="005939CD" w:rsidP="005939CD">
      <w:pPr>
        <w:spacing w:after="0" w:line="240" w:lineRule="auto"/>
        <w:rPr>
          <w:rFonts w:ascii="Arial" w:hAnsi="Arial" w:cs="Arial"/>
          <w:b/>
          <w:sz w:val="20"/>
          <w:szCs w:val="20"/>
        </w:rPr>
      </w:pPr>
    </w:p>
    <w:p w14:paraId="67C0F8D3" w14:textId="3802882F" w:rsidR="000F5891" w:rsidRDefault="000F5891" w:rsidP="000F5891">
      <w:r>
        <w:rPr>
          <w:rFonts w:ascii="Arial" w:hAnsi="Arial" w:cs="Arial"/>
          <w:sz w:val="20"/>
          <w:szCs w:val="20"/>
        </w:rPr>
        <w:t>PrEP is taken before and after condomless sex to prevent the</w:t>
      </w:r>
      <w:r w:rsidR="006968AD">
        <w:rPr>
          <w:rFonts w:ascii="Arial" w:hAnsi="Arial" w:cs="Arial"/>
          <w:sz w:val="20"/>
          <w:szCs w:val="20"/>
        </w:rPr>
        <w:t xml:space="preserve"> transmission </w:t>
      </w:r>
      <w:r>
        <w:rPr>
          <w:rFonts w:ascii="Arial" w:hAnsi="Arial" w:cs="Arial"/>
          <w:sz w:val="20"/>
          <w:szCs w:val="20"/>
        </w:rPr>
        <w:t xml:space="preserve">of HIV. When taken correctly, PrEP is more than 99% effective however, it does not protect against other STIs. Anybody </w:t>
      </w:r>
      <w:r w:rsidR="00377749">
        <w:rPr>
          <w:rFonts w:ascii="Arial" w:hAnsi="Arial" w:cs="Arial"/>
          <w:sz w:val="20"/>
          <w:szCs w:val="20"/>
        </w:rPr>
        <w:t xml:space="preserve">can </w:t>
      </w:r>
      <w:r>
        <w:rPr>
          <w:rFonts w:ascii="Arial" w:hAnsi="Arial" w:cs="Arial"/>
          <w:sz w:val="20"/>
          <w:szCs w:val="20"/>
        </w:rPr>
        <w:t>take PrEP and their HIV risk and eligibility is</w:t>
      </w:r>
      <w:r w:rsidR="00D81ED8">
        <w:rPr>
          <w:rFonts w:ascii="Arial" w:hAnsi="Arial" w:cs="Arial"/>
          <w:sz w:val="20"/>
          <w:szCs w:val="20"/>
        </w:rPr>
        <w:t xml:space="preserve"> assessed in </w:t>
      </w:r>
      <w:r>
        <w:rPr>
          <w:rFonts w:ascii="Arial" w:hAnsi="Arial" w:cs="Arial"/>
          <w:sz w:val="20"/>
          <w:szCs w:val="20"/>
        </w:rPr>
        <w:t>sexual health clinics</w:t>
      </w:r>
      <w:r w:rsidR="004B4ED8">
        <w:rPr>
          <w:rFonts w:ascii="Arial" w:hAnsi="Arial" w:cs="Arial"/>
          <w:sz w:val="20"/>
          <w:szCs w:val="20"/>
        </w:rPr>
        <w:t>.</w:t>
      </w:r>
      <w:r w:rsidR="00093C91">
        <w:rPr>
          <w:rFonts w:ascii="Arial" w:hAnsi="Arial" w:cs="Arial"/>
          <w:sz w:val="20"/>
          <w:szCs w:val="20"/>
        </w:rPr>
        <w:t xml:space="preserve"> </w:t>
      </w:r>
      <w:r w:rsidR="004B4ED8">
        <w:rPr>
          <w:rFonts w:ascii="Arial" w:hAnsi="Arial" w:cs="Arial"/>
          <w:sz w:val="20"/>
          <w:szCs w:val="20"/>
        </w:rPr>
        <w:t>This assessment and PrEP tablets are FREE</w:t>
      </w:r>
      <w:r w:rsidR="00D81ED8">
        <w:rPr>
          <w:rFonts w:ascii="Arial" w:hAnsi="Arial" w:cs="Arial"/>
          <w:sz w:val="20"/>
          <w:szCs w:val="20"/>
        </w:rPr>
        <w:t xml:space="preserve"> of charge</w:t>
      </w:r>
      <w:r>
        <w:rPr>
          <w:rFonts w:ascii="Arial" w:hAnsi="Arial" w:cs="Arial"/>
          <w:sz w:val="20"/>
          <w:szCs w:val="20"/>
        </w:rPr>
        <w:t xml:space="preserve"> in the UK. </w:t>
      </w:r>
    </w:p>
    <w:p w14:paraId="344D37A7" w14:textId="77777777" w:rsidR="005939CD" w:rsidRPr="00C4598A" w:rsidRDefault="005939CD" w:rsidP="005939CD">
      <w:pPr>
        <w:spacing w:after="0" w:line="240" w:lineRule="auto"/>
        <w:rPr>
          <w:rFonts w:ascii="Arial" w:hAnsi="Arial" w:cs="Arial"/>
          <w:sz w:val="20"/>
          <w:szCs w:val="20"/>
        </w:rPr>
      </w:pPr>
      <w:r w:rsidRPr="00C4598A">
        <w:rPr>
          <w:rFonts w:ascii="Arial" w:hAnsi="Arial" w:cs="Arial"/>
          <w:sz w:val="20"/>
          <w:szCs w:val="20"/>
        </w:rPr>
        <w:t>The following antiretroviral medicines can be used for PrEP:</w:t>
      </w:r>
    </w:p>
    <w:p w14:paraId="2F755D65" w14:textId="279CA1D3" w:rsidR="005939CD" w:rsidRDefault="005939CD" w:rsidP="005939CD">
      <w:pPr>
        <w:pStyle w:val="ListParagraph"/>
        <w:numPr>
          <w:ilvl w:val="0"/>
          <w:numId w:val="1"/>
        </w:numPr>
        <w:spacing w:after="0" w:line="240" w:lineRule="auto"/>
        <w:rPr>
          <w:rFonts w:ascii="Arial" w:hAnsi="Arial" w:cs="Arial"/>
          <w:b/>
          <w:color w:val="4472C4" w:themeColor="accent1"/>
          <w:sz w:val="20"/>
          <w:szCs w:val="20"/>
        </w:rPr>
      </w:pPr>
      <w:bookmarkStart w:id="0" w:name="_Hlk164766869"/>
      <w:r w:rsidRPr="00C4598A">
        <w:rPr>
          <w:rFonts w:ascii="Arial" w:hAnsi="Arial" w:cs="Arial"/>
          <w:b/>
          <w:color w:val="4472C4" w:themeColor="accent1"/>
          <w:sz w:val="20"/>
          <w:szCs w:val="20"/>
        </w:rPr>
        <w:t xml:space="preserve">Tenofovir disoproxil 245mg/emtricitabine 200mg </w:t>
      </w:r>
      <w:bookmarkStart w:id="1" w:name="_Hlk164764369"/>
      <w:r w:rsidRPr="00C4598A">
        <w:rPr>
          <w:rFonts w:ascii="Arial" w:hAnsi="Arial" w:cs="Arial"/>
          <w:b/>
          <w:color w:val="4472C4" w:themeColor="accent1"/>
          <w:sz w:val="20"/>
          <w:szCs w:val="20"/>
        </w:rPr>
        <w:t>fixed dose combination tablet</w:t>
      </w:r>
      <w:bookmarkEnd w:id="1"/>
      <w:r w:rsidR="00F167B0">
        <w:rPr>
          <w:rFonts w:ascii="Arial" w:hAnsi="Arial" w:cs="Arial"/>
          <w:b/>
          <w:color w:val="4472C4" w:themeColor="accent1"/>
          <w:sz w:val="20"/>
          <w:szCs w:val="20"/>
        </w:rPr>
        <w:t xml:space="preserve"> </w:t>
      </w:r>
      <w:r w:rsidR="00944C28">
        <w:rPr>
          <w:rFonts w:ascii="Arial" w:hAnsi="Arial" w:cs="Arial"/>
          <w:b/>
          <w:color w:val="4472C4" w:themeColor="accent1"/>
          <w:sz w:val="20"/>
          <w:szCs w:val="20"/>
        </w:rPr>
        <w:t xml:space="preserve">or </w:t>
      </w:r>
    </w:p>
    <w:p w14:paraId="6BD86384" w14:textId="77777777" w:rsidR="00944C28" w:rsidRPr="006D6417" w:rsidRDefault="00944C28" w:rsidP="00944C28">
      <w:pPr>
        <w:pStyle w:val="ListParagraph"/>
        <w:numPr>
          <w:ilvl w:val="0"/>
          <w:numId w:val="1"/>
        </w:numPr>
        <w:spacing w:after="0" w:line="240" w:lineRule="auto"/>
        <w:rPr>
          <w:rFonts w:ascii="Arial" w:hAnsi="Arial" w:cs="Arial"/>
          <w:b/>
          <w:color w:val="0070C0"/>
          <w:sz w:val="20"/>
          <w:szCs w:val="20"/>
        </w:rPr>
      </w:pPr>
      <w:r w:rsidRPr="006D6417">
        <w:rPr>
          <w:rFonts w:ascii="Arial" w:hAnsi="Arial" w:cs="Arial"/>
          <w:b/>
          <w:color w:val="0070C0"/>
          <w:sz w:val="20"/>
          <w:szCs w:val="20"/>
        </w:rPr>
        <w:t>Descovy</w:t>
      </w:r>
      <w:r w:rsidRPr="006D6417">
        <w:rPr>
          <w:rFonts w:ascii="Arial" w:hAnsi="Arial" w:cs="Arial"/>
          <w:b/>
          <w:color w:val="0070C0"/>
          <w:sz w:val="20"/>
          <w:szCs w:val="20"/>
          <w:vertAlign w:val="superscript"/>
        </w:rPr>
        <w:t>®</w:t>
      </w:r>
      <w:r w:rsidRPr="006D6417">
        <w:rPr>
          <w:rFonts w:ascii="Arial" w:hAnsi="Arial" w:cs="Arial"/>
          <w:b/>
          <w:color w:val="0070C0"/>
          <w:sz w:val="20"/>
          <w:szCs w:val="20"/>
        </w:rPr>
        <w:t xml:space="preserve"> (tenofovir alafenamide 25mg/emtricitabine 200mg) fixed dose combination tablet</w:t>
      </w:r>
    </w:p>
    <w:p w14:paraId="1F2C6D55" w14:textId="77777777" w:rsidR="00944C28" w:rsidRDefault="00944C28" w:rsidP="00F167B0">
      <w:pPr>
        <w:spacing w:after="0" w:line="240" w:lineRule="auto"/>
        <w:rPr>
          <w:rFonts w:ascii="Arial" w:hAnsi="Arial" w:cs="Arial"/>
          <w:bCs/>
          <w:sz w:val="20"/>
          <w:szCs w:val="20"/>
        </w:rPr>
      </w:pPr>
    </w:p>
    <w:p w14:paraId="0B535BDC" w14:textId="0D0B12D6" w:rsidR="00F34E47" w:rsidRDefault="00F34E47" w:rsidP="00F34E47">
      <w:pPr>
        <w:pStyle w:val="NoSpacing"/>
        <w:rPr>
          <w:rFonts w:ascii="Arial" w:hAnsi="Arial" w:cs="Arial"/>
          <w:sz w:val="18"/>
          <w:szCs w:val="20"/>
        </w:rPr>
      </w:pPr>
      <w:r w:rsidRPr="00C4598A">
        <w:rPr>
          <w:rFonts w:ascii="Arial" w:hAnsi="Arial" w:cs="Arial"/>
          <w:sz w:val="18"/>
          <w:szCs w:val="20"/>
        </w:rPr>
        <w:t>Descovy</w:t>
      </w:r>
      <w:r w:rsidRPr="00C4598A">
        <w:rPr>
          <w:rFonts w:ascii="Arial" w:hAnsi="Arial" w:cs="Arial"/>
          <w:sz w:val="18"/>
          <w:szCs w:val="20"/>
          <w:vertAlign w:val="superscript"/>
        </w:rPr>
        <w:t>®</w:t>
      </w:r>
      <w:r w:rsidRPr="00C4598A">
        <w:rPr>
          <w:rFonts w:ascii="Arial" w:hAnsi="Arial" w:cs="Arial"/>
          <w:sz w:val="18"/>
          <w:szCs w:val="20"/>
        </w:rPr>
        <w:t xml:space="preserve"> is a newer version of standard PrEP (tenofovir disoproxil and emtricitabine) which is less likely to affect the kidneys or bones. It is recommended for people with or at risk of poor kidney or bone health. For example, for people under the age of 18</w:t>
      </w:r>
      <w:r w:rsidR="0016598F">
        <w:rPr>
          <w:rFonts w:ascii="Arial" w:hAnsi="Arial" w:cs="Arial"/>
          <w:sz w:val="18"/>
          <w:szCs w:val="20"/>
        </w:rPr>
        <w:t xml:space="preserve"> o</w:t>
      </w:r>
      <w:r w:rsidRPr="00C4598A">
        <w:rPr>
          <w:rFonts w:ascii="Arial" w:hAnsi="Arial" w:cs="Arial"/>
          <w:sz w:val="18"/>
          <w:szCs w:val="20"/>
        </w:rPr>
        <w:t xml:space="preserve">r for people with </w:t>
      </w:r>
      <w:r w:rsidR="00060405">
        <w:rPr>
          <w:rFonts w:ascii="Arial" w:hAnsi="Arial" w:cs="Arial"/>
          <w:sz w:val="18"/>
          <w:szCs w:val="20"/>
        </w:rPr>
        <w:t>established renal disease or those who experience deterioration of renal function on standard PrEP (tenofovir disoproxil and emtricitabine).</w:t>
      </w:r>
    </w:p>
    <w:p w14:paraId="10118621" w14:textId="77777777" w:rsidR="00F34E47" w:rsidRDefault="00F34E47" w:rsidP="00F167B0">
      <w:pPr>
        <w:spacing w:after="0" w:line="240" w:lineRule="auto"/>
        <w:rPr>
          <w:rFonts w:ascii="Arial" w:hAnsi="Arial" w:cs="Arial"/>
          <w:bCs/>
          <w:sz w:val="20"/>
          <w:szCs w:val="20"/>
        </w:rPr>
      </w:pPr>
    </w:p>
    <w:p w14:paraId="54A30A99" w14:textId="52C9FCCF" w:rsidR="00944C28" w:rsidRDefault="004B4ED8" w:rsidP="00F167B0">
      <w:pPr>
        <w:spacing w:after="0" w:line="240" w:lineRule="auto"/>
        <w:rPr>
          <w:rFonts w:ascii="Arial" w:hAnsi="Arial" w:cs="Arial"/>
          <w:bCs/>
          <w:sz w:val="20"/>
          <w:szCs w:val="20"/>
        </w:rPr>
      </w:pPr>
      <w:r>
        <w:rPr>
          <w:rFonts w:ascii="Arial" w:hAnsi="Arial" w:cs="Arial"/>
          <w:bCs/>
          <w:sz w:val="20"/>
          <w:szCs w:val="20"/>
        </w:rPr>
        <w:t>You can either take PrEP</w:t>
      </w:r>
      <w:r w:rsidR="00377749">
        <w:rPr>
          <w:rFonts w:ascii="Arial" w:hAnsi="Arial" w:cs="Arial"/>
          <w:bCs/>
          <w:sz w:val="20"/>
          <w:szCs w:val="20"/>
        </w:rPr>
        <w:t>:</w:t>
      </w:r>
    </w:p>
    <w:p w14:paraId="0FA234A5" w14:textId="1ED93E6D" w:rsidR="00944C28" w:rsidRPr="003944C4" w:rsidRDefault="00944C28" w:rsidP="00093C91">
      <w:pPr>
        <w:pStyle w:val="ListParagraph"/>
        <w:spacing w:after="0" w:line="240" w:lineRule="auto"/>
        <w:ind w:left="360"/>
        <w:rPr>
          <w:rFonts w:ascii="Arial" w:hAnsi="Arial" w:cs="Arial"/>
          <w:b/>
          <w:bCs/>
          <w:sz w:val="20"/>
          <w:szCs w:val="20"/>
        </w:rPr>
      </w:pPr>
      <w:r w:rsidRPr="003944C4">
        <w:rPr>
          <w:rFonts w:ascii="Arial" w:hAnsi="Arial" w:cs="Arial"/>
          <w:b/>
          <w:bCs/>
          <w:sz w:val="20"/>
          <w:szCs w:val="20"/>
        </w:rPr>
        <w:t xml:space="preserve">Daily </w:t>
      </w:r>
    </w:p>
    <w:p w14:paraId="69CD4432" w14:textId="0020FF72" w:rsidR="00377749" w:rsidRDefault="00944C28" w:rsidP="00093C91">
      <w:pPr>
        <w:pStyle w:val="ListParagraph"/>
        <w:spacing w:after="0" w:line="240" w:lineRule="auto"/>
        <w:ind w:left="1080"/>
        <w:rPr>
          <w:rFonts w:ascii="Arial" w:hAnsi="Arial" w:cs="Arial"/>
          <w:bCs/>
          <w:sz w:val="20"/>
          <w:szCs w:val="20"/>
        </w:rPr>
      </w:pPr>
      <w:r w:rsidRPr="003944C4">
        <w:rPr>
          <w:rFonts w:ascii="Arial" w:hAnsi="Arial" w:cs="Arial"/>
          <w:bCs/>
          <w:sz w:val="20"/>
          <w:szCs w:val="20"/>
        </w:rPr>
        <w:t xml:space="preserve">All people can start PrEP by taking a double dose (at least 2 hours before sex) and then continue taking one tablet daily thereafter. When stopping </w:t>
      </w:r>
      <w:r w:rsidR="00D14885" w:rsidRPr="003944C4">
        <w:rPr>
          <w:rFonts w:ascii="Arial" w:hAnsi="Arial" w:cs="Arial"/>
          <w:bCs/>
          <w:sz w:val="20"/>
          <w:szCs w:val="20"/>
        </w:rPr>
        <w:t>PrEP,</w:t>
      </w:r>
      <w:r w:rsidRPr="003944C4">
        <w:rPr>
          <w:rFonts w:ascii="Arial" w:hAnsi="Arial" w:cs="Arial"/>
          <w:bCs/>
          <w:sz w:val="20"/>
          <w:szCs w:val="20"/>
        </w:rPr>
        <w:t xml:space="preserve"> it should be continued </w:t>
      </w:r>
      <w:r w:rsidR="003944C4" w:rsidRPr="003944C4">
        <w:rPr>
          <w:rFonts w:ascii="Arial" w:hAnsi="Arial" w:cs="Arial"/>
          <w:bCs/>
          <w:sz w:val="20"/>
          <w:szCs w:val="20"/>
        </w:rPr>
        <w:t xml:space="preserve">for 2 days after the last risk for </w:t>
      </w:r>
      <w:r w:rsidR="00060405">
        <w:rPr>
          <w:rFonts w:ascii="Arial" w:hAnsi="Arial" w:cs="Arial"/>
          <w:bCs/>
          <w:sz w:val="20"/>
          <w:szCs w:val="20"/>
        </w:rPr>
        <w:t xml:space="preserve">those having insertive sex or receptive anal sex </w:t>
      </w:r>
      <w:r w:rsidR="003944C4" w:rsidRPr="003944C4">
        <w:rPr>
          <w:rFonts w:ascii="Arial" w:hAnsi="Arial" w:cs="Arial"/>
          <w:bCs/>
          <w:sz w:val="20"/>
          <w:szCs w:val="20"/>
        </w:rPr>
        <w:t xml:space="preserve">and </w:t>
      </w:r>
      <w:r w:rsidR="00060405">
        <w:rPr>
          <w:rFonts w:ascii="Arial" w:hAnsi="Arial" w:cs="Arial"/>
          <w:bCs/>
          <w:sz w:val="20"/>
          <w:szCs w:val="20"/>
        </w:rPr>
        <w:t xml:space="preserve">for </w:t>
      </w:r>
      <w:r w:rsidR="003944C4" w:rsidRPr="003944C4">
        <w:rPr>
          <w:rFonts w:ascii="Arial" w:hAnsi="Arial" w:cs="Arial"/>
          <w:bCs/>
          <w:sz w:val="20"/>
          <w:szCs w:val="20"/>
        </w:rPr>
        <w:t xml:space="preserve">7 days after the last risk for </w:t>
      </w:r>
      <w:r w:rsidR="00060405">
        <w:rPr>
          <w:rFonts w:ascii="Arial" w:hAnsi="Arial" w:cs="Arial"/>
          <w:bCs/>
          <w:sz w:val="20"/>
          <w:szCs w:val="20"/>
        </w:rPr>
        <w:t>those having receptive vaginal or neovaginal sex and those where the risk of HIV acquisition is through injecting drugs</w:t>
      </w:r>
      <w:r w:rsidR="003944C4" w:rsidRPr="003944C4">
        <w:rPr>
          <w:rFonts w:ascii="Arial" w:hAnsi="Arial" w:cs="Arial"/>
          <w:bCs/>
          <w:sz w:val="20"/>
          <w:szCs w:val="20"/>
        </w:rPr>
        <w:t xml:space="preserve">. </w:t>
      </w:r>
    </w:p>
    <w:p w14:paraId="3AC2B6B0" w14:textId="77777777" w:rsidR="00377749" w:rsidRPr="00093C91" w:rsidRDefault="00377749" w:rsidP="00093C91">
      <w:pPr>
        <w:spacing w:after="0" w:line="240" w:lineRule="auto"/>
        <w:rPr>
          <w:rFonts w:ascii="Arial" w:hAnsi="Arial" w:cs="Arial"/>
          <w:bCs/>
          <w:sz w:val="20"/>
          <w:szCs w:val="20"/>
        </w:rPr>
      </w:pPr>
    </w:p>
    <w:p w14:paraId="37D027D5" w14:textId="386709AC" w:rsidR="00377749" w:rsidRPr="00093C91" w:rsidRDefault="004B4ED8" w:rsidP="00093C91">
      <w:r w:rsidRPr="00093C91">
        <w:rPr>
          <w:rFonts w:ascii="Arial" w:hAnsi="Arial" w:cs="Arial"/>
          <w:b/>
          <w:bCs/>
          <w:sz w:val="20"/>
          <w:szCs w:val="20"/>
        </w:rPr>
        <w:t xml:space="preserve">Or </w:t>
      </w:r>
      <w:r w:rsidR="003944C4" w:rsidRPr="00093C91">
        <w:rPr>
          <w:rFonts w:ascii="Arial" w:hAnsi="Arial" w:cs="Arial"/>
          <w:b/>
          <w:bCs/>
          <w:sz w:val="20"/>
          <w:szCs w:val="20"/>
        </w:rPr>
        <w:t>On-demand/ e</w:t>
      </w:r>
      <w:r w:rsidR="00944C28" w:rsidRPr="00093C91">
        <w:rPr>
          <w:rFonts w:ascii="Arial" w:hAnsi="Arial" w:cs="Arial"/>
          <w:b/>
          <w:bCs/>
          <w:sz w:val="20"/>
          <w:szCs w:val="20"/>
        </w:rPr>
        <w:t>vent-based</w:t>
      </w:r>
      <w:r w:rsidR="003944C4" w:rsidRPr="00093C91">
        <w:rPr>
          <w:rFonts w:ascii="Arial" w:hAnsi="Arial" w:cs="Arial"/>
          <w:b/>
          <w:bCs/>
          <w:sz w:val="20"/>
          <w:szCs w:val="20"/>
        </w:rPr>
        <w:t xml:space="preserve"> </w:t>
      </w:r>
      <w:r w:rsidR="00944C28" w:rsidRPr="00093C91">
        <w:rPr>
          <w:rFonts w:ascii="Arial" w:hAnsi="Arial" w:cs="Arial"/>
          <w:b/>
          <w:bCs/>
          <w:sz w:val="20"/>
          <w:szCs w:val="20"/>
        </w:rPr>
        <w:t xml:space="preserve">dosing </w:t>
      </w:r>
      <w:r w:rsidR="003944C4" w:rsidRPr="00093C91">
        <w:rPr>
          <w:rFonts w:ascii="Arial" w:hAnsi="Arial" w:cs="Arial"/>
          <w:b/>
          <w:bCs/>
          <w:sz w:val="20"/>
          <w:szCs w:val="20"/>
        </w:rPr>
        <w:t>(EBD)</w:t>
      </w:r>
      <w:r w:rsidR="00DB557C" w:rsidRPr="00093C91">
        <w:rPr>
          <w:rFonts w:ascii="Arial" w:hAnsi="Arial" w:cs="Arial"/>
          <w:b/>
          <w:bCs/>
          <w:sz w:val="20"/>
          <w:szCs w:val="20"/>
        </w:rPr>
        <w:t xml:space="preserve"> </w:t>
      </w:r>
    </w:p>
    <w:p w14:paraId="6ADE1B93" w14:textId="4A063109" w:rsidR="003944C4" w:rsidRPr="00093C91" w:rsidRDefault="003944C4" w:rsidP="00377749">
      <w:pPr>
        <w:pStyle w:val="ListParagraph"/>
        <w:numPr>
          <w:ilvl w:val="1"/>
          <w:numId w:val="7"/>
        </w:numPr>
        <w:spacing w:after="0" w:line="240" w:lineRule="auto"/>
      </w:pPr>
      <w:r w:rsidRPr="00093C91">
        <w:rPr>
          <w:rFonts w:ascii="Arial" w:hAnsi="Arial" w:cs="Arial"/>
          <w:bCs/>
          <w:sz w:val="20"/>
          <w:szCs w:val="20"/>
        </w:rPr>
        <w:t>This involves taking PrEP around the time of sex</w:t>
      </w:r>
      <w:r w:rsidR="00060405">
        <w:rPr>
          <w:rFonts w:ascii="Arial" w:hAnsi="Arial" w:cs="Arial"/>
          <w:bCs/>
          <w:sz w:val="20"/>
          <w:szCs w:val="20"/>
        </w:rPr>
        <w:t>. D</w:t>
      </w:r>
      <w:r w:rsidRPr="00093C91">
        <w:rPr>
          <w:rFonts w:ascii="Arial" w:hAnsi="Arial" w:cs="Arial"/>
          <w:bCs/>
          <w:sz w:val="20"/>
          <w:szCs w:val="20"/>
        </w:rPr>
        <w:t xml:space="preserve">osing schedule </w:t>
      </w:r>
      <w:r w:rsidR="004B4ED8" w:rsidRPr="00093C91">
        <w:rPr>
          <w:rFonts w:ascii="Arial" w:hAnsi="Arial" w:cs="Arial"/>
          <w:bCs/>
          <w:sz w:val="20"/>
          <w:szCs w:val="20"/>
        </w:rPr>
        <w:t xml:space="preserve">will be discussed at the Sexual Health </w:t>
      </w:r>
      <w:r w:rsidR="00060405" w:rsidRPr="00093C91">
        <w:rPr>
          <w:rFonts w:ascii="Arial" w:hAnsi="Arial" w:cs="Arial"/>
          <w:bCs/>
          <w:sz w:val="20"/>
          <w:szCs w:val="20"/>
        </w:rPr>
        <w:t>Clinic,</w:t>
      </w:r>
      <w:r w:rsidR="004B4ED8" w:rsidRPr="00093C91">
        <w:rPr>
          <w:rFonts w:ascii="Arial" w:hAnsi="Arial" w:cs="Arial"/>
          <w:bCs/>
          <w:sz w:val="20"/>
          <w:szCs w:val="20"/>
        </w:rPr>
        <w:t xml:space="preserve"> but </w:t>
      </w:r>
      <w:r w:rsidR="00060405">
        <w:rPr>
          <w:rFonts w:ascii="Arial" w:hAnsi="Arial" w:cs="Arial"/>
          <w:bCs/>
          <w:sz w:val="20"/>
          <w:szCs w:val="20"/>
        </w:rPr>
        <w:t xml:space="preserve">event-based dosing involves taking a double dose </w:t>
      </w:r>
      <w:r w:rsidR="004B4ED8" w:rsidRPr="00093C91">
        <w:rPr>
          <w:rFonts w:ascii="Arial" w:hAnsi="Arial" w:cs="Arial"/>
          <w:bCs/>
          <w:sz w:val="20"/>
          <w:szCs w:val="20"/>
        </w:rPr>
        <w:t>2-24</w:t>
      </w:r>
      <w:r w:rsidR="00060405">
        <w:rPr>
          <w:rFonts w:ascii="Arial" w:hAnsi="Arial" w:cs="Arial"/>
          <w:bCs/>
          <w:sz w:val="20"/>
          <w:szCs w:val="20"/>
        </w:rPr>
        <w:t xml:space="preserve"> </w:t>
      </w:r>
      <w:r w:rsidR="004B4ED8" w:rsidRPr="00093C91">
        <w:rPr>
          <w:rFonts w:ascii="Arial" w:hAnsi="Arial" w:cs="Arial"/>
          <w:bCs/>
          <w:sz w:val="20"/>
          <w:szCs w:val="20"/>
        </w:rPr>
        <w:t xml:space="preserve">hours before </w:t>
      </w:r>
      <w:r w:rsidR="00060405">
        <w:rPr>
          <w:rFonts w:ascii="Arial" w:hAnsi="Arial" w:cs="Arial"/>
          <w:bCs/>
          <w:sz w:val="20"/>
          <w:szCs w:val="20"/>
        </w:rPr>
        <w:t>sex</w:t>
      </w:r>
      <w:r w:rsidRPr="00093C91">
        <w:rPr>
          <w:rFonts w:ascii="Arial" w:hAnsi="Arial" w:cs="Arial"/>
          <w:bCs/>
          <w:sz w:val="20"/>
          <w:szCs w:val="20"/>
        </w:rPr>
        <w:t xml:space="preserve"> </w:t>
      </w:r>
      <w:r w:rsidR="00060405">
        <w:rPr>
          <w:rFonts w:ascii="Arial" w:hAnsi="Arial" w:cs="Arial"/>
          <w:bCs/>
          <w:sz w:val="20"/>
          <w:szCs w:val="20"/>
        </w:rPr>
        <w:t xml:space="preserve">followed by a daily dose for either </w:t>
      </w:r>
      <w:r w:rsidR="00060405" w:rsidRPr="003944C4">
        <w:rPr>
          <w:rFonts w:ascii="Arial" w:hAnsi="Arial" w:cs="Arial"/>
          <w:bCs/>
          <w:sz w:val="20"/>
          <w:szCs w:val="20"/>
        </w:rPr>
        <w:t xml:space="preserve">2 </w:t>
      </w:r>
      <w:r w:rsidR="00060405">
        <w:rPr>
          <w:rFonts w:ascii="Arial" w:hAnsi="Arial" w:cs="Arial"/>
          <w:bCs/>
          <w:sz w:val="20"/>
          <w:szCs w:val="20"/>
        </w:rPr>
        <w:t xml:space="preserve">or 7 </w:t>
      </w:r>
      <w:r w:rsidR="00060405" w:rsidRPr="003944C4">
        <w:rPr>
          <w:rFonts w:ascii="Arial" w:hAnsi="Arial" w:cs="Arial"/>
          <w:bCs/>
          <w:sz w:val="20"/>
          <w:szCs w:val="20"/>
        </w:rPr>
        <w:t>days</w:t>
      </w:r>
      <w:r w:rsidR="00060405">
        <w:rPr>
          <w:rFonts w:ascii="Arial" w:hAnsi="Arial" w:cs="Arial"/>
          <w:bCs/>
          <w:sz w:val="20"/>
          <w:szCs w:val="20"/>
        </w:rPr>
        <w:t xml:space="preserve">, depending on the type of sex as detailed above. </w:t>
      </w:r>
    </w:p>
    <w:p w14:paraId="11752A1B" w14:textId="77777777" w:rsidR="00944C28" w:rsidRPr="0046179D" w:rsidRDefault="00944C28" w:rsidP="00F167B0">
      <w:pPr>
        <w:spacing w:after="0" w:line="240" w:lineRule="auto"/>
        <w:rPr>
          <w:rFonts w:ascii="Arial" w:hAnsi="Arial" w:cs="Arial"/>
          <w:bCs/>
          <w:sz w:val="10"/>
          <w:szCs w:val="10"/>
        </w:rPr>
      </w:pPr>
    </w:p>
    <w:bookmarkEnd w:id="0"/>
    <w:p w14:paraId="6A67239C" w14:textId="235DD561" w:rsidR="003944C4" w:rsidRDefault="003944C4" w:rsidP="00BC3C8B">
      <w:pPr>
        <w:pStyle w:val="NoSpacing"/>
        <w:rPr>
          <w:rFonts w:ascii="Arial" w:hAnsi="Arial" w:cs="Arial"/>
          <w:sz w:val="18"/>
          <w:szCs w:val="20"/>
        </w:rPr>
      </w:pPr>
    </w:p>
    <w:p w14:paraId="13FF5E2C" w14:textId="5C1AC4DE" w:rsidR="00CD5B70" w:rsidRPr="00C4598A" w:rsidRDefault="00CD5B70" w:rsidP="00CD5B70">
      <w:pPr>
        <w:spacing w:after="0" w:line="240" w:lineRule="auto"/>
        <w:rPr>
          <w:rFonts w:ascii="Arial" w:hAnsi="Arial" w:cs="Arial"/>
          <w:b/>
          <w:sz w:val="20"/>
          <w:szCs w:val="20"/>
        </w:rPr>
      </w:pPr>
      <w:r w:rsidRPr="00C4598A">
        <w:rPr>
          <w:rFonts w:ascii="Arial" w:hAnsi="Arial" w:cs="Arial"/>
          <w:b/>
          <w:sz w:val="20"/>
          <w:szCs w:val="20"/>
        </w:rPr>
        <w:t xml:space="preserve">Who is PrEP for? </w:t>
      </w:r>
    </w:p>
    <w:p w14:paraId="46CC8564" w14:textId="3B3FA340" w:rsidR="00CD5B70" w:rsidRPr="00C4598A" w:rsidRDefault="00CD5B70" w:rsidP="00CD5B70">
      <w:pPr>
        <w:spacing w:after="0" w:line="240" w:lineRule="auto"/>
        <w:rPr>
          <w:rFonts w:ascii="Arial" w:hAnsi="Arial" w:cs="Arial"/>
          <w:sz w:val="20"/>
          <w:szCs w:val="20"/>
        </w:rPr>
      </w:pPr>
      <w:r w:rsidRPr="00093C91">
        <w:rPr>
          <w:rFonts w:ascii="Arial" w:hAnsi="Arial" w:cs="Arial"/>
          <w:sz w:val="20"/>
          <w:szCs w:val="20"/>
          <w:u w:val="single"/>
        </w:rPr>
        <w:t>Anyone</w:t>
      </w:r>
      <w:r w:rsidRPr="00C4598A">
        <w:rPr>
          <w:rFonts w:ascii="Arial" w:hAnsi="Arial" w:cs="Arial"/>
          <w:sz w:val="20"/>
          <w:szCs w:val="20"/>
        </w:rPr>
        <w:t xml:space="preserve"> who is at risk of HIV acquisition could benefit from PrEP. </w:t>
      </w:r>
    </w:p>
    <w:p w14:paraId="39D70E70" w14:textId="77777777" w:rsidR="0046179D" w:rsidRDefault="0046179D" w:rsidP="00CD5B70">
      <w:pPr>
        <w:spacing w:after="0" w:line="240" w:lineRule="auto"/>
        <w:rPr>
          <w:rFonts w:ascii="Arial" w:hAnsi="Arial" w:cs="Arial"/>
          <w:sz w:val="20"/>
          <w:szCs w:val="20"/>
        </w:rPr>
      </w:pPr>
    </w:p>
    <w:p w14:paraId="2F262B24" w14:textId="1A0B2D56" w:rsidR="00CD5B70" w:rsidRPr="00C4598A" w:rsidRDefault="00CD5B70" w:rsidP="00CD5B70">
      <w:pPr>
        <w:spacing w:after="0" w:line="240" w:lineRule="auto"/>
        <w:rPr>
          <w:rFonts w:ascii="Arial" w:hAnsi="Arial" w:cs="Arial"/>
          <w:sz w:val="20"/>
          <w:szCs w:val="20"/>
        </w:rPr>
      </w:pPr>
      <w:r w:rsidRPr="00C4598A">
        <w:rPr>
          <w:rFonts w:ascii="Arial" w:hAnsi="Arial" w:cs="Arial"/>
          <w:sz w:val="20"/>
          <w:szCs w:val="20"/>
        </w:rPr>
        <w:t xml:space="preserve">PrEP is especially important for the following people (however this list is not exhaustive): </w:t>
      </w:r>
    </w:p>
    <w:p w14:paraId="6651C770" w14:textId="76551247" w:rsidR="00CD5B70" w:rsidRDefault="00CD5B70" w:rsidP="00CD5B70">
      <w:pPr>
        <w:pStyle w:val="ListParagraph"/>
        <w:numPr>
          <w:ilvl w:val="0"/>
          <w:numId w:val="6"/>
        </w:numPr>
        <w:spacing w:after="0" w:line="240" w:lineRule="auto"/>
        <w:rPr>
          <w:rFonts w:ascii="Arial" w:hAnsi="Arial" w:cs="Arial"/>
          <w:sz w:val="20"/>
          <w:szCs w:val="20"/>
        </w:rPr>
      </w:pPr>
      <w:r w:rsidRPr="00C4598A">
        <w:rPr>
          <w:rFonts w:ascii="Arial" w:hAnsi="Arial" w:cs="Arial"/>
          <w:sz w:val="20"/>
          <w:szCs w:val="20"/>
        </w:rPr>
        <w:t>Gay</w:t>
      </w:r>
      <w:r w:rsidR="00060405">
        <w:rPr>
          <w:rFonts w:ascii="Arial" w:hAnsi="Arial" w:cs="Arial"/>
          <w:sz w:val="20"/>
          <w:szCs w:val="20"/>
        </w:rPr>
        <w:t xml:space="preserve">, </w:t>
      </w:r>
      <w:proofErr w:type="gramStart"/>
      <w:r w:rsidRPr="00C4598A">
        <w:rPr>
          <w:rFonts w:ascii="Arial" w:hAnsi="Arial" w:cs="Arial"/>
          <w:sz w:val="20"/>
          <w:szCs w:val="20"/>
        </w:rPr>
        <w:t>bisexual</w:t>
      </w:r>
      <w:proofErr w:type="gramEnd"/>
      <w:r w:rsidRPr="00C4598A">
        <w:rPr>
          <w:rFonts w:ascii="Arial" w:hAnsi="Arial" w:cs="Arial"/>
          <w:sz w:val="20"/>
          <w:szCs w:val="20"/>
        </w:rPr>
        <w:t xml:space="preserve"> </w:t>
      </w:r>
      <w:r w:rsidR="00060405">
        <w:rPr>
          <w:rFonts w:ascii="Arial" w:hAnsi="Arial" w:cs="Arial"/>
          <w:sz w:val="20"/>
          <w:szCs w:val="20"/>
        </w:rPr>
        <w:t xml:space="preserve">and other </w:t>
      </w:r>
      <w:r w:rsidRPr="00C4598A">
        <w:rPr>
          <w:rFonts w:ascii="Arial" w:hAnsi="Arial" w:cs="Arial"/>
          <w:sz w:val="20"/>
          <w:szCs w:val="20"/>
        </w:rPr>
        <w:t>men who have sex with men (</w:t>
      </w:r>
      <w:r w:rsidR="00060405">
        <w:rPr>
          <w:rFonts w:ascii="Arial" w:hAnsi="Arial" w:cs="Arial"/>
          <w:sz w:val="20"/>
          <w:szCs w:val="20"/>
        </w:rPr>
        <w:t>GB</w:t>
      </w:r>
      <w:r w:rsidRPr="00C4598A">
        <w:rPr>
          <w:rFonts w:ascii="Arial" w:hAnsi="Arial" w:cs="Arial"/>
          <w:sz w:val="20"/>
          <w:szCs w:val="20"/>
        </w:rPr>
        <w:t>MSM)</w:t>
      </w:r>
    </w:p>
    <w:p w14:paraId="6A5CF8D7" w14:textId="04354F2F" w:rsidR="006D6417" w:rsidRDefault="00137BF0" w:rsidP="006D6417">
      <w:pPr>
        <w:pStyle w:val="ListParagraph"/>
        <w:numPr>
          <w:ilvl w:val="0"/>
          <w:numId w:val="6"/>
        </w:numPr>
        <w:spacing w:after="0" w:line="240" w:lineRule="auto"/>
        <w:rPr>
          <w:rFonts w:ascii="Arial" w:hAnsi="Arial" w:cs="Arial"/>
          <w:sz w:val="20"/>
          <w:szCs w:val="20"/>
        </w:rPr>
      </w:pPr>
      <w:r>
        <w:rPr>
          <w:rFonts w:ascii="Arial" w:hAnsi="Arial" w:cs="Arial"/>
          <w:sz w:val="20"/>
          <w:szCs w:val="20"/>
        </w:rPr>
        <w:t>P</w:t>
      </w:r>
      <w:r w:rsidRPr="00137BF0">
        <w:rPr>
          <w:rFonts w:ascii="Arial" w:hAnsi="Arial" w:cs="Arial"/>
          <w:sz w:val="20"/>
          <w:szCs w:val="20"/>
        </w:rPr>
        <w:t xml:space="preserve">artners </w:t>
      </w:r>
      <w:r w:rsidR="00060405">
        <w:rPr>
          <w:rFonts w:ascii="Arial" w:hAnsi="Arial" w:cs="Arial"/>
          <w:sz w:val="20"/>
          <w:szCs w:val="20"/>
        </w:rPr>
        <w:t xml:space="preserve">of people who living with </w:t>
      </w:r>
      <w:r w:rsidRPr="00137BF0">
        <w:rPr>
          <w:rFonts w:ascii="Arial" w:hAnsi="Arial" w:cs="Arial"/>
          <w:sz w:val="20"/>
          <w:szCs w:val="20"/>
        </w:rPr>
        <w:t xml:space="preserve">HIV positive and not on treatment/don't reliably take treatment who have </w:t>
      </w:r>
      <w:r w:rsidR="00060405">
        <w:rPr>
          <w:rFonts w:ascii="Arial" w:hAnsi="Arial" w:cs="Arial"/>
          <w:sz w:val="20"/>
          <w:szCs w:val="20"/>
        </w:rPr>
        <w:t xml:space="preserve">a </w:t>
      </w:r>
      <w:r w:rsidRPr="00137BF0">
        <w:rPr>
          <w:rFonts w:ascii="Arial" w:hAnsi="Arial" w:cs="Arial"/>
          <w:sz w:val="20"/>
          <w:szCs w:val="20"/>
        </w:rPr>
        <w:t xml:space="preserve">detectable HIV </w:t>
      </w:r>
      <w:r w:rsidR="00060405">
        <w:rPr>
          <w:rFonts w:ascii="Arial" w:hAnsi="Arial" w:cs="Arial"/>
          <w:sz w:val="20"/>
          <w:szCs w:val="20"/>
        </w:rPr>
        <w:t xml:space="preserve">viral load. </w:t>
      </w:r>
    </w:p>
    <w:p w14:paraId="01661C7B" w14:textId="57D76E37" w:rsidR="00137BF0" w:rsidRPr="00C4598A" w:rsidRDefault="00137BF0" w:rsidP="006D6417">
      <w:pPr>
        <w:pStyle w:val="ListParagraph"/>
        <w:numPr>
          <w:ilvl w:val="0"/>
          <w:numId w:val="6"/>
        </w:numPr>
        <w:spacing w:after="0" w:line="240" w:lineRule="auto"/>
        <w:rPr>
          <w:rFonts w:ascii="Arial" w:hAnsi="Arial" w:cs="Arial"/>
          <w:sz w:val="20"/>
          <w:szCs w:val="20"/>
        </w:rPr>
      </w:pPr>
      <w:r w:rsidRPr="00137BF0">
        <w:rPr>
          <w:rFonts w:ascii="Arial" w:hAnsi="Arial" w:cs="Arial"/>
          <w:sz w:val="20"/>
          <w:szCs w:val="20"/>
        </w:rPr>
        <w:t xml:space="preserve">Sexually active heterosexual black African people who do not know the HIV status of their </w:t>
      </w:r>
      <w:proofErr w:type="gramStart"/>
      <w:r w:rsidRPr="00137BF0">
        <w:rPr>
          <w:rFonts w:ascii="Arial" w:hAnsi="Arial" w:cs="Arial"/>
          <w:sz w:val="20"/>
          <w:szCs w:val="20"/>
        </w:rPr>
        <w:t>partner</w:t>
      </w:r>
      <w:proofErr w:type="gramEnd"/>
    </w:p>
    <w:p w14:paraId="14CCA820" w14:textId="77777777" w:rsidR="00137BF0" w:rsidRDefault="00137BF0" w:rsidP="006D6417">
      <w:pPr>
        <w:pStyle w:val="ListParagraph"/>
        <w:numPr>
          <w:ilvl w:val="0"/>
          <w:numId w:val="6"/>
        </w:numPr>
        <w:spacing w:after="0" w:line="240" w:lineRule="auto"/>
        <w:rPr>
          <w:rFonts w:ascii="Arial" w:hAnsi="Arial" w:cs="Arial"/>
          <w:sz w:val="20"/>
          <w:szCs w:val="20"/>
        </w:rPr>
      </w:pPr>
      <w:r w:rsidRPr="00137BF0">
        <w:rPr>
          <w:rFonts w:ascii="Arial" w:hAnsi="Arial" w:cs="Arial"/>
          <w:sz w:val="20"/>
          <w:szCs w:val="20"/>
        </w:rPr>
        <w:t>Any person who travels to, and has sex in, countries where there is a high prevalence of HIV</w:t>
      </w:r>
    </w:p>
    <w:p w14:paraId="5A692C5C" w14:textId="5833FD5A" w:rsidR="006D6417" w:rsidRDefault="006D6417" w:rsidP="006D6417">
      <w:pPr>
        <w:pStyle w:val="ListParagraph"/>
        <w:numPr>
          <w:ilvl w:val="0"/>
          <w:numId w:val="6"/>
        </w:numPr>
        <w:spacing w:after="0" w:line="240" w:lineRule="auto"/>
        <w:rPr>
          <w:rFonts w:ascii="Arial" w:hAnsi="Arial" w:cs="Arial"/>
          <w:sz w:val="20"/>
          <w:szCs w:val="20"/>
        </w:rPr>
      </w:pPr>
      <w:r w:rsidRPr="006D6417">
        <w:rPr>
          <w:rFonts w:ascii="Arial" w:hAnsi="Arial" w:cs="Arial"/>
          <w:sz w:val="20"/>
          <w:szCs w:val="20"/>
        </w:rPr>
        <w:t xml:space="preserve">Other indications may </w:t>
      </w:r>
      <w:proofErr w:type="gramStart"/>
      <w:r w:rsidRPr="006D6417">
        <w:rPr>
          <w:rFonts w:ascii="Arial" w:hAnsi="Arial" w:cs="Arial"/>
          <w:sz w:val="20"/>
          <w:szCs w:val="20"/>
        </w:rPr>
        <w:t>include:</w:t>
      </w:r>
      <w:proofErr w:type="gramEnd"/>
      <w:r w:rsidRPr="006D6417">
        <w:t xml:space="preserve"> </w:t>
      </w:r>
      <w:r w:rsidRPr="006D6417">
        <w:rPr>
          <w:rFonts w:ascii="Arial" w:hAnsi="Arial" w:cs="Arial"/>
          <w:sz w:val="20"/>
          <w:szCs w:val="20"/>
        </w:rPr>
        <w:t xml:space="preserve">previous post-exposure prophylaxis (PEP) use, recent </w:t>
      </w:r>
      <w:r w:rsidR="00060405">
        <w:rPr>
          <w:rFonts w:ascii="Arial" w:hAnsi="Arial" w:cs="Arial"/>
          <w:sz w:val="20"/>
          <w:szCs w:val="20"/>
        </w:rPr>
        <w:t xml:space="preserve">bacterial </w:t>
      </w:r>
      <w:r w:rsidRPr="006D6417">
        <w:rPr>
          <w:rFonts w:ascii="Arial" w:hAnsi="Arial" w:cs="Arial"/>
          <w:sz w:val="20"/>
          <w:szCs w:val="20"/>
        </w:rPr>
        <w:t xml:space="preserve">STI, people who engage in chemsex, injecting drug users or transgender individuals </w:t>
      </w:r>
    </w:p>
    <w:p w14:paraId="7FD10A95" w14:textId="77777777" w:rsidR="003B4609" w:rsidRPr="006D6417" w:rsidRDefault="003B4609" w:rsidP="00093C91">
      <w:pPr>
        <w:pStyle w:val="ListParagraph"/>
        <w:spacing w:after="0" w:line="240" w:lineRule="auto"/>
        <w:rPr>
          <w:rFonts w:ascii="Arial" w:hAnsi="Arial" w:cs="Arial"/>
          <w:sz w:val="20"/>
          <w:szCs w:val="20"/>
        </w:rPr>
      </w:pPr>
    </w:p>
    <w:p w14:paraId="0FD7A5DC" w14:textId="7F2438F3" w:rsidR="006D6417" w:rsidRDefault="003B4609" w:rsidP="003B4609">
      <w:pPr>
        <w:spacing w:after="0" w:line="240" w:lineRule="auto"/>
        <w:rPr>
          <w:rFonts w:ascii="Arial" w:hAnsi="Arial" w:cs="Arial"/>
          <w:b/>
          <w:sz w:val="20"/>
          <w:szCs w:val="20"/>
        </w:rPr>
      </w:pPr>
      <w:r>
        <w:rPr>
          <w:rFonts w:ascii="Arial" w:hAnsi="Arial" w:cs="Arial"/>
          <w:b/>
          <w:sz w:val="20"/>
          <w:szCs w:val="20"/>
        </w:rPr>
        <w:t>When should you discuss or consider PrEP?</w:t>
      </w:r>
    </w:p>
    <w:p w14:paraId="30BBCFC9" w14:textId="77777777" w:rsidR="003B4609" w:rsidRDefault="003B4609" w:rsidP="003B4609">
      <w:pPr>
        <w:spacing w:after="0" w:line="240" w:lineRule="auto"/>
        <w:rPr>
          <w:rFonts w:ascii="Arial" w:hAnsi="Arial" w:cs="Arial"/>
          <w:b/>
          <w:sz w:val="20"/>
          <w:szCs w:val="20"/>
        </w:rPr>
      </w:pPr>
    </w:p>
    <w:p w14:paraId="2642738E" w14:textId="77777777" w:rsidR="003B4609" w:rsidRPr="00093C91" w:rsidRDefault="003B4609" w:rsidP="00093C91">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r w:rsidRPr="00093C91">
        <w:rPr>
          <w:rFonts w:ascii="Arial" w:hAnsi="Arial" w:cs="Arial"/>
          <w:color w:val="000000"/>
          <w:sz w:val="20"/>
          <w:szCs w:val="20"/>
        </w:rPr>
        <w:t>If someone asks for it</w:t>
      </w:r>
    </w:p>
    <w:p w14:paraId="5E57C74E" w14:textId="77777777" w:rsidR="003B4609" w:rsidRPr="00093C91" w:rsidRDefault="003B4609" w:rsidP="00093C91">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r w:rsidRPr="00093C91">
        <w:rPr>
          <w:rFonts w:ascii="Arial" w:hAnsi="Arial" w:cs="Arial"/>
          <w:color w:val="000000"/>
          <w:sz w:val="20"/>
          <w:szCs w:val="20"/>
        </w:rPr>
        <w:t>During contraception or emergency contraception appointments</w:t>
      </w:r>
    </w:p>
    <w:p w14:paraId="6885E86E" w14:textId="4B1CCD8D" w:rsidR="003B4609" w:rsidRPr="00093C91" w:rsidRDefault="003B4609" w:rsidP="00093C91">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r w:rsidRPr="00093C91">
        <w:rPr>
          <w:rFonts w:ascii="Arial" w:hAnsi="Arial" w:cs="Arial"/>
          <w:color w:val="000000"/>
          <w:sz w:val="20"/>
          <w:szCs w:val="20"/>
        </w:rPr>
        <w:t>Patient diagnosed with STI</w:t>
      </w:r>
      <w:r>
        <w:rPr>
          <w:rFonts w:ascii="Arial" w:hAnsi="Arial" w:cs="Arial"/>
          <w:color w:val="000000"/>
          <w:sz w:val="20"/>
          <w:szCs w:val="20"/>
        </w:rPr>
        <w:t xml:space="preserve"> or asking for an STI screen</w:t>
      </w:r>
    </w:p>
    <w:p w14:paraId="66A905BE" w14:textId="77777777" w:rsidR="003B4609" w:rsidRDefault="003B4609" w:rsidP="003B4609">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r w:rsidRPr="00093C91">
        <w:rPr>
          <w:rFonts w:ascii="Arial" w:hAnsi="Arial" w:cs="Arial"/>
          <w:color w:val="000000"/>
          <w:sz w:val="20"/>
          <w:szCs w:val="20"/>
        </w:rPr>
        <w:t>Any person in a new relationship</w:t>
      </w:r>
    </w:p>
    <w:p w14:paraId="4AD29D8A" w14:textId="32C9114A" w:rsidR="003B4609" w:rsidRPr="00093C91" w:rsidRDefault="003B4609" w:rsidP="00093C91">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rPr>
      </w:pPr>
      <w:r w:rsidRPr="00093C91">
        <w:rPr>
          <w:rFonts w:ascii="Arial" w:hAnsi="Arial" w:cs="Arial"/>
          <w:color w:val="000000"/>
          <w:sz w:val="20"/>
          <w:szCs w:val="20"/>
        </w:rPr>
        <w:t>Travel clinic appointment</w:t>
      </w:r>
    </w:p>
    <w:p w14:paraId="2C8F6B85" w14:textId="77777777" w:rsidR="003B4609" w:rsidRDefault="003B4609" w:rsidP="003B4609">
      <w:pPr>
        <w:spacing w:after="0" w:line="240" w:lineRule="auto"/>
        <w:rPr>
          <w:rFonts w:ascii="Helvetica Neue" w:hAnsi="Helvetica Neue" w:cs="Helvetica Neue"/>
          <w:color w:val="000000"/>
          <w:sz w:val="26"/>
          <w:szCs w:val="26"/>
        </w:rPr>
      </w:pPr>
    </w:p>
    <w:p w14:paraId="614549CC" w14:textId="0C2B76F3" w:rsidR="00060405" w:rsidRPr="00093C91" w:rsidRDefault="003B4609" w:rsidP="003B4609">
      <w:pPr>
        <w:spacing w:after="0" w:line="240" w:lineRule="auto"/>
        <w:rPr>
          <w:rFonts w:ascii="Arial" w:hAnsi="Arial" w:cs="Arial"/>
          <w:bCs/>
          <w:i/>
          <w:iCs/>
          <w:sz w:val="20"/>
          <w:szCs w:val="20"/>
        </w:rPr>
      </w:pPr>
      <w:r w:rsidRPr="00093C91">
        <w:rPr>
          <w:rFonts w:ascii="Arial" w:hAnsi="Arial" w:cs="Arial"/>
          <w:bCs/>
          <w:i/>
          <w:iCs/>
          <w:sz w:val="20"/>
          <w:szCs w:val="20"/>
        </w:rPr>
        <w:t>“Did you know that there is now medication that can protect you from HIV?”</w:t>
      </w:r>
    </w:p>
    <w:p w14:paraId="655A594C" w14:textId="77777777" w:rsidR="003B4609" w:rsidRPr="00093C91" w:rsidRDefault="003B4609" w:rsidP="003B4609">
      <w:pPr>
        <w:spacing w:after="0" w:line="240" w:lineRule="auto"/>
        <w:rPr>
          <w:rFonts w:ascii="Arial" w:hAnsi="Arial" w:cs="Arial"/>
          <w:bCs/>
          <w:i/>
          <w:iCs/>
          <w:sz w:val="20"/>
          <w:szCs w:val="20"/>
        </w:rPr>
      </w:pPr>
    </w:p>
    <w:p w14:paraId="5620A148" w14:textId="784DD225" w:rsidR="003B4609" w:rsidRDefault="003B4609" w:rsidP="003B4609">
      <w:pPr>
        <w:spacing w:after="0" w:line="240" w:lineRule="auto"/>
        <w:rPr>
          <w:rFonts w:ascii="Arial" w:hAnsi="Arial" w:cs="Arial"/>
          <w:bCs/>
          <w:i/>
          <w:iCs/>
          <w:sz w:val="20"/>
          <w:szCs w:val="20"/>
        </w:rPr>
      </w:pPr>
      <w:r w:rsidRPr="00093C91">
        <w:rPr>
          <w:rFonts w:ascii="Arial" w:hAnsi="Arial" w:cs="Arial"/>
          <w:bCs/>
          <w:i/>
          <w:iCs/>
          <w:sz w:val="20"/>
          <w:szCs w:val="20"/>
        </w:rPr>
        <w:t>“As well as having a full STI screen</w:t>
      </w:r>
      <w:r>
        <w:rPr>
          <w:rFonts w:ascii="Arial" w:hAnsi="Arial" w:cs="Arial"/>
          <w:bCs/>
          <w:i/>
          <w:iCs/>
          <w:sz w:val="20"/>
          <w:szCs w:val="20"/>
        </w:rPr>
        <w:t>/contraception review/smear</w:t>
      </w:r>
      <w:r w:rsidRPr="00093C91">
        <w:rPr>
          <w:rFonts w:ascii="Arial" w:hAnsi="Arial" w:cs="Arial"/>
          <w:bCs/>
          <w:i/>
          <w:iCs/>
          <w:sz w:val="20"/>
          <w:szCs w:val="20"/>
        </w:rPr>
        <w:t xml:space="preserve"> I think it would be sensible to discuss</w:t>
      </w:r>
      <w:r>
        <w:rPr>
          <w:rFonts w:ascii="Arial" w:hAnsi="Arial" w:cs="Arial"/>
          <w:bCs/>
          <w:i/>
          <w:iCs/>
          <w:sz w:val="20"/>
          <w:szCs w:val="20"/>
        </w:rPr>
        <w:t xml:space="preserve"> a</w:t>
      </w:r>
      <w:r w:rsidRPr="00093C91">
        <w:rPr>
          <w:rFonts w:ascii="Arial" w:hAnsi="Arial" w:cs="Arial"/>
          <w:bCs/>
          <w:i/>
          <w:iCs/>
          <w:sz w:val="20"/>
          <w:szCs w:val="20"/>
        </w:rPr>
        <w:t xml:space="preserve"> </w:t>
      </w:r>
      <w:r>
        <w:rPr>
          <w:rFonts w:ascii="Arial" w:hAnsi="Arial" w:cs="Arial"/>
          <w:bCs/>
          <w:i/>
          <w:iCs/>
          <w:sz w:val="20"/>
          <w:szCs w:val="20"/>
        </w:rPr>
        <w:t xml:space="preserve">new </w:t>
      </w:r>
      <w:r w:rsidRPr="00093C91">
        <w:rPr>
          <w:rFonts w:ascii="Arial" w:hAnsi="Arial" w:cs="Arial"/>
          <w:bCs/>
          <w:i/>
          <w:iCs/>
          <w:sz w:val="20"/>
          <w:szCs w:val="20"/>
        </w:rPr>
        <w:t>medication that you can take to protect you from HIV, are you already taking this or is it something that you have heard of?”</w:t>
      </w:r>
    </w:p>
    <w:p w14:paraId="016A36E0" w14:textId="77777777" w:rsidR="00E30F2F" w:rsidRDefault="00E30F2F" w:rsidP="003B4609">
      <w:pPr>
        <w:spacing w:after="0" w:line="240" w:lineRule="auto"/>
        <w:rPr>
          <w:rFonts w:ascii="Arial" w:hAnsi="Arial" w:cs="Arial"/>
          <w:bCs/>
          <w:i/>
          <w:iCs/>
          <w:sz w:val="20"/>
          <w:szCs w:val="20"/>
        </w:rPr>
      </w:pPr>
    </w:p>
    <w:p w14:paraId="41F8CAC8" w14:textId="72BE92D8" w:rsidR="00E30F2F" w:rsidRPr="00093C91" w:rsidRDefault="00E30F2F" w:rsidP="003B4609">
      <w:pPr>
        <w:spacing w:after="0" w:line="240" w:lineRule="auto"/>
        <w:rPr>
          <w:rFonts w:ascii="Arial" w:hAnsi="Arial" w:cs="Arial"/>
          <w:bCs/>
          <w:i/>
          <w:iCs/>
          <w:sz w:val="20"/>
          <w:szCs w:val="20"/>
        </w:rPr>
      </w:pPr>
      <w:r>
        <w:rPr>
          <w:rFonts w:ascii="Arial" w:hAnsi="Arial" w:cs="Arial"/>
          <w:bCs/>
          <w:i/>
          <w:iCs/>
          <w:sz w:val="20"/>
          <w:szCs w:val="20"/>
        </w:rPr>
        <w:t xml:space="preserve">“Are there any other medications that you are getting or buying from any other services or hospital?” </w:t>
      </w:r>
    </w:p>
    <w:p w14:paraId="77379ADE" w14:textId="77777777" w:rsidR="00F23749" w:rsidRDefault="00F23749" w:rsidP="00BC3C8B">
      <w:pPr>
        <w:pStyle w:val="NoSpacing"/>
        <w:rPr>
          <w:rFonts w:ascii="Arial" w:hAnsi="Arial" w:cs="Arial"/>
          <w:b/>
          <w:sz w:val="20"/>
          <w:szCs w:val="20"/>
        </w:rPr>
      </w:pPr>
    </w:p>
    <w:p w14:paraId="5F0293A1" w14:textId="62560C7F" w:rsidR="00BC3C8B" w:rsidRDefault="00BC3C8B" w:rsidP="00BC3C8B">
      <w:pPr>
        <w:pStyle w:val="NoSpacing"/>
        <w:rPr>
          <w:rFonts w:ascii="Arial" w:hAnsi="Arial" w:cs="Arial"/>
          <w:b/>
          <w:sz w:val="20"/>
          <w:szCs w:val="20"/>
        </w:rPr>
      </w:pPr>
      <w:r w:rsidRPr="00C4598A">
        <w:rPr>
          <w:rFonts w:ascii="Arial" w:hAnsi="Arial" w:cs="Arial"/>
          <w:b/>
          <w:sz w:val="20"/>
          <w:szCs w:val="20"/>
        </w:rPr>
        <w:t xml:space="preserve">What are the common side effects oral PrEP? </w:t>
      </w:r>
    </w:p>
    <w:p w14:paraId="1A2A56B4" w14:textId="77777777" w:rsidR="00D14885" w:rsidRPr="00C4598A" w:rsidRDefault="00D14885" w:rsidP="00BC3C8B">
      <w:pPr>
        <w:pStyle w:val="NoSpacing"/>
        <w:rPr>
          <w:rFonts w:ascii="Arial" w:hAnsi="Arial" w:cs="Arial"/>
          <w:b/>
          <w:sz w:val="20"/>
          <w:szCs w:val="20"/>
        </w:rPr>
      </w:pPr>
    </w:p>
    <w:p w14:paraId="00E675DD" w14:textId="7A7EF694" w:rsidR="00BC3C8B" w:rsidRDefault="00C4598A" w:rsidP="00C4598A">
      <w:pPr>
        <w:pStyle w:val="NoSpacing"/>
        <w:ind w:left="720"/>
        <w:rPr>
          <w:rFonts w:ascii="Arial" w:hAnsi="Arial" w:cs="Arial"/>
          <w:sz w:val="20"/>
          <w:szCs w:val="20"/>
        </w:rPr>
      </w:pPr>
      <w:r w:rsidRPr="00C4598A">
        <w:rPr>
          <w:rFonts w:ascii="Arial" w:hAnsi="Arial" w:cs="Arial"/>
          <w:noProof/>
          <w:sz w:val="20"/>
          <w:szCs w:val="20"/>
          <w:highlight w:val="yellow"/>
        </w:rPr>
        <w:drawing>
          <wp:anchor distT="0" distB="0" distL="114300" distR="114300" simplePos="0" relativeHeight="251659264" behindDoc="0" locked="0" layoutInCell="1" allowOverlap="1" wp14:anchorId="20E60BAB" wp14:editId="7BF3D488">
            <wp:simplePos x="0" y="0"/>
            <wp:positionH relativeFrom="margin">
              <wp:posOffset>76296</wp:posOffset>
            </wp:positionH>
            <wp:positionV relativeFrom="paragraph">
              <wp:posOffset>6350</wp:posOffset>
            </wp:positionV>
            <wp:extent cx="285115" cy="285115"/>
            <wp:effectExtent l="0" t="0" r="0" b="635"/>
            <wp:wrapThrough wrapText="bothSides">
              <wp:wrapPolygon edited="0">
                <wp:start x="1443" y="0"/>
                <wp:lineTo x="2886" y="18762"/>
                <wp:lineTo x="5773" y="20205"/>
                <wp:lineTo x="18762" y="20205"/>
                <wp:lineTo x="15875" y="0"/>
                <wp:lineTo x="1443" y="0"/>
              </wp:wrapPolygon>
            </wp:wrapThrough>
            <wp:docPr id="1" name="Graphic 1" descr="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cin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5115" cy="285115"/>
                    </a:xfrm>
                    <a:prstGeom prst="rect">
                      <a:avLst/>
                    </a:prstGeom>
                  </pic:spPr>
                </pic:pic>
              </a:graphicData>
            </a:graphic>
            <wp14:sizeRelH relativeFrom="page">
              <wp14:pctWidth>0</wp14:pctWidth>
            </wp14:sizeRelH>
            <wp14:sizeRelV relativeFrom="page">
              <wp14:pctHeight>0</wp14:pctHeight>
            </wp14:sizeRelV>
          </wp:anchor>
        </w:drawing>
      </w:r>
      <w:r w:rsidR="00BC3C8B" w:rsidRPr="00C4598A">
        <w:rPr>
          <w:rFonts w:ascii="Arial" w:hAnsi="Arial" w:cs="Arial"/>
          <w:b/>
          <w:sz w:val="20"/>
          <w:szCs w:val="20"/>
        </w:rPr>
        <w:t>Short term</w:t>
      </w:r>
      <w:r w:rsidR="00BC3C8B" w:rsidRPr="00C4598A">
        <w:rPr>
          <w:rFonts w:ascii="Arial" w:hAnsi="Arial" w:cs="Arial"/>
          <w:sz w:val="20"/>
          <w:szCs w:val="20"/>
        </w:rPr>
        <w:t xml:space="preserve"> side effects are generally GI related including nausea, vomiting, diarrhoea, feeling bloated or flatulence but also </w:t>
      </w:r>
      <w:r w:rsidR="00060405">
        <w:rPr>
          <w:rFonts w:ascii="Arial" w:hAnsi="Arial" w:cs="Arial"/>
          <w:sz w:val="20"/>
          <w:szCs w:val="20"/>
        </w:rPr>
        <w:t>h</w:t>
      </w:r>
      <w:r w:rsidR="00BC3C8B" w:rsidRPr="00C4598A">
        <w:rPr>
          <w:rFonts w:ascii="Arial" w:hAnsi="Arial" w:cs="Arial"/>
          <w:sz w:val="20"/>
          <w:szCs w:val="20"/>
        </w:rPr>
        <w:t>eadaches, dizziness or difficulty sleeping. Most are minor and will settle within a few days or weeks.</w:t>
      </w:r>
    </w:p>
    <w:p w14:paraId="6CC6F827" w14:textId="6BA9F035" w:rsidR="00D14885" w:rsidRPr="00C4598A" w:rsidRDefault="00D14885" w:rsidP="00C4598A">
      <w:pPr>
        <w:pStyle w:val="NoSpacing"/>
        <w:ind w:left="720"/>
        <w:rPr>
          <w:rFonts w:ascii="Arial" w:hAnsi="Arial" w:cs="Arial"/>
          <w:sz w:val="20"/>
          <w:szCs w:val="20"/>
        </w:rPr>
      </w:pPr>
    </w:p>
    <w:p w14:paraId="244441C1" w14:textId="345CAC98" w:rsidR="00BC3C8B" w:rsidRDefault="00D14885" w:rsidP="00D14885">
      <w:pPr>
        <w:pStyle w:val="NoSpacing"/>
        <w:ind w:left="720"/>
        <w:rPr>
          <w:rFonts w:ascii="Arial" w:eastAsia="Microsoft YaHei" w:hAnsi="Arial" w:cs="Arial"/>
          <w:sz w:val="20"/>
          <w:szCs w:val="20"/>
        </w:rPr>
      </w:pPr>
      <w:r w:rsidRPr="00C4598A">
        <w:rPr>
          <w:rFonts w:ascii="Arial" w:hAnsi="Arial" w:cs="Arial"/>
          <w:noProof/>
          <w:sz w:val="20"/>
          <w:szCs w:val="20"/>
          <w:highlight w:val="yellow"/>
        </w:rPr>
        <w:drawing>
          <wp:anchor distT="0" distB="0" distL="114300" distR="114300" simplePos="0" relativeHeight="251661312" behindDoc="0" locked="0" layoutInCell="1" allowOverlap="1" wp14:anchorId="308D7EFE" wp14:editId="095223B4">
            <wp:simplePos x="0" y="0"/>
            <wp:positionH relativeFrom="margin">
              <wp:posOffset>67310</wp:posOffset>
            </wp:positionH>
            <wp:positionV relativeFrom="paragraph">
              <wp:posOffset>6985</wp:posOffset>
            </wp:positionV>
            <wp:extent cx="285115" cy="285115"/>
            <wp:effectExtent l="0" t="0" r="0" b="635"/>
            <wp:wrapThrough wrapText="bothSides">
              <wp:wrapPolygon edited="0">
                <wp:start x="1443" y="0"/>
                <wp:lineTo x="2886" y="18762"/>
                <wp:lineTo x="5773" y="20205"/>
                <wp:lineTo x="18762" y="20205"/>
                <wp:lineTo x="15875" y="0"/>
                <wp:lineTo x="1443" y="0"/>
              </wp:wrapPolygon>
            </wp:wrapThrough>
            <wp:docPr id="2" name="Graphic 2" descr="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cin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5115" cy="285115"/>
                    </a:xfrm>
                    <a:prstGeom prst="rect">
                      <a:avLst/>
                    </a:prstGeom>
                  </pic:spPr>
                </pic:pic>
              </a:graphicData>
            </a:graphic>
            <wp14:sizeRelH relativeFrom="page">
              <wp14:pctWidth>0</wp14:pctWidth>
            </wp14:sizeRelH>
            <wp14:sizeRelV relativeFrom="page">
              <wp14:pctHeight>0</wp14:pctHeight>
            </wp14:sizeRelV>
          </wp:anchor>
        </w:drawing>
      </w:r>
      <w:r w:rsidR="00BC3C8B" w:rsidRPr="00C4598A">
        <w:rPr>
          <w:rFonts w:ascii="Arial" w:eastAsia="Microsoft YaHei" w:hAnsi="Arial" w:cs="Arial"/>
          <w:b/>
          <w:sz w:val="20"/>
          <w:szCs w:val="20"/>
        </w:rPr>
        <w:t>Long term</w:t>
      </w:r>
      <w:r w:rsidR="00BC3C8B" w:rsidRPr="00C4598A">
        <w:rPr>
          <w:rFonts w:ascii="Arial" w:eastAsia="Microsoft YaHei" w:hAnsi="Arial" w:cs="Arial"/>
          <w:sz w:val="20"/>
          <w:szCs w:val="20"/>
        </w:rPr>
        <w:t xml:space="preserve"> side effects include renal </w:t>
      </w:r>
      <w:r w:rsidR="00C4598A" w:rsidRPr="00C4598A">
        <w:rPr>
          <w:rFonts w:ascii="Arial" w:eastAsia="Microsoft YaHei" w:hAnsi="Arial" w:cs="Arial"/>
          <w:sz w:val="20"/>
          <w:szCs w:val="20"/>
        </w:rPr>
        <w:t xml:space="preserve">impairment </w:t>
      </w:r>
      <w:r w:rsidR="00BC3C8B" w:rsidRPr="00C4598A">
        <w:rPr>
          <w:rFonts w:ascii="Arial" w:eastAsia="Microsoft YaHei" w:hAnsi="Arial" w:cs="Arial"/>
          <w:sz w:val="20"/>
          <w:szCs w:val="20"/>
        </w:rPr>
        <w:t>and bone damage</w:t>
      </w:r>
      <w:r w:rsidR="00C4598A" w:rsidRPr="00C4598A">
        <w:rPr>
          <w:rFonts w:ascii="Arial" w:eastAsia="Microsoft YaHei" w:hAnsi="Arial" w:cs="Arial"/>
          <w:sz w:val="20"/>
          <w:szCs w:val="20"/>
        </w:rPr>
        <w:t xml:space="preserve"> as either osteopenia or osteoporosis</w:t>
      </w:r>
      <w:r w:rsidR="00BC3C8B" w:rsidRPr="00C4598A">
        <w:rPr>
          <w:rFonts w:ascii="Arial" w:eastAsia="Microsoft YaHei" w:hAnsi="Arial" w:cs="Arial"/>
          <w:sz w:val="20"/>
          <w:szCs w:val="20"/>
        </w:rPr>
        <w:t xml:space="preserve">. This is associated with tenofovir disoproxil based PrEP. </w:t>
      </w:r>
    </w:p>
    <w:p w14:paraId="08523DDA" w14:textId="77777777" w:rsidR="00E528CD" w:rsidRPr="00B44EBB" w:rsidRDefault="00E528CD" w:rsidP="00C4598A">
      <w:pPr>
        <w:pStyle w:val="NoSpacing"/>
        <w:rPr>
          <w:rFonts w:ascii="Arial" w:eastAsia="Microsoft YaHei" w:hAnsi="Arial" w:cs="Arial"/>
          <w:b/>
          <w:sz w:val="20"/>
          <w:szCs w:val="20"/>
        </w:rPr>
      </w:pPr>
    </w:p>
    <w:p w14:paraId="699B51DE" w14:textId="77777777" w:rsidR="00C4598A" w:rsidRPr="00C4598A" w:rsidRDefault="00C4598A" w:rsidP="00BC3C8B">
      <w:pPr>
        <w:spacing w:after="0" w:line="240" w:lineRule="auto"/>
        <w:rPr>
          <w:rFonts w:ascii="Arial" w:eastAsia="Microsoft YaHei" w:hAnsi="Arial" w:cs="Arial"/>
          <w:sz w:val="20"/>
          <w:szCs w:val="20"/>
        </w:rPr>
      </w:pPr>
    </w:p>
    <w:p w14:paraId="06A0A54E" w14:textId="77777777" w:rsidR="00BC3C8B" w:rsidRPr="00D14885" w:rsidRDefault="00BC3C8B" w:rsidP="00BC3C8B">
      <w:pPr>
        <w:spacing w:after="0" w:line="240" w:lineRule="auto"/>
        <w:rPr>
          <w:rFonts w:ascii="Arial" w:hAnsi="Arial" w:cs="Arial"/>
          <w:b/>
          <w:sz w:val="20"/>
          <w:szCs w:val="20"/>
        </w:rPr>
      </w:pPr>
      <w:r w:rsidRPr="00D14885">
        <w:rPr>
          <w:rFonts w:ascii="Arial" w:hAnsi="Arial" w:cs="Arial"/>
          <w:b/>
          <w:sz w:val="20"/>
          <w:szCs w:val="20"/>
        </w:rPr>
        <w:t>What monitoring</w:t>
      </w:r>
      <w:r w:rsidR="00C4598A" w:rsidRPr="00D14885">
        <w:rPr>
          <w:rFonts w:ascii="Arial" w:hAnsi="Arial" w:cs="Arial"/>
          <w:b/>
          <w:sz w:val="20"/>
          <w:szCs w:val="20"/>
        </w:rPr>
        <w:t xml:space="preserve"> is done with PrEP</w:t>
      </w:r>
      <w:r w:rsidRPr="00D14885">
        <w:rPr>
          <w:rFonts w:ascii="Arial" w:hAnsi="Arial" w:cs="Arial"/>
          <w:b/>
          <w:sz w:val="20"/>
          <w:szCs w:val="20"/>
        </w:rPr>
        <w:t>?</w:t>
      </w:r>
    </w:p>
    <w:p w14:paraId="0B3D5133" w14:textId="2224C55F" w:rsidR="00711E44" w:rsidRPr="00D14885" w:rsidRDefault="00D14885" w:rsidP="00BC3C8B">
      <w:pPr>
        <w:spacing w:after="0" w:line="240" w:lineRule="auto"/>
        <w:rPr>
          <w:rFonts w:ascii="Arial" w:hAnsi="Arial" w:cs="Arial"/>
          <w:b/>
          <w:sz w:val="20"/>
          <w:szCs w:val="20"/>
        </w:rPr>
      </w:pPr>
      <w:r w:rsidRPr="00D14885">
        <w:rPr>
          <w:rFonts w:ascii="Arial" w:hAnsi="Arial" w:cs="Arial"/>
          <w:noProof/>
          <w:sz w:val="20"/>
          <w:szCs w:val="20"/>
        </w:rPr>
        <w:drawing>
          <wp:anchor distT="0" distB="0" distL="114300" distR="114300" simplePos="0" relativeHeight="251669504" behindDoc="1" locked="0" layoutInCell="1" allowOverlap="1" wp14:anchorId="58A2FA64" wp14:editId="34B525E5">
            <wp:simplePos x="0" y="0"/>
            <wp:positionH relativeFrom="column">
              <wp:posOffset>-152400</wp:posOffset>
            </wp:positionH>
            <wp:positionV relativeFrom="paragraph">
              <wp:posOffset>157480</wp:posOffset>
            </wp:positionV>
            <wp:extent cx="539750" cy="539750"/>
            <wp:effectExtent l="0" t="0" r="0" b="0"/>
            <wp:wrapTight wrapText="bothSides">
              <wp:wrapPolygon edited="0">
                <wp:start x="10673" y="0"/>
                <wp:lineTo x="3049" y="16772"/>
                <wp:lineTo x="3049" y="20584"/>
                <wp:lineTo x="18296" y="20584"/>
                <wp:lineTo x="14485" y="0"/>
                <wp:lineTo x="10673" y="0"/>
              </wp:wrapPolygon>
            </wp:wrapTight>
            <wp:docPr id="20" name="Graphic 19" descr="Microscope">
              <a:extLst xmlns:a="http://schemas.openxmlformats.org/drawingml/2006/main">
                <a:ext uri="{FF2B5EF4-FFF2-40B4-BE49-F238E27FC236}">
                  <a16:creationId xmlns:a16="http://schemas.microsoft.com/office/drawing/2014/main" id="{0D423DBA-C559-49D2-AE63-54E24FD69E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Microscope">
                      <a:extLst>
                        <a:ext uri="{FF2B5EF4-FFF2-40B4-BE49-F238E27FC236}">
                          <a16:creationId xmlns:a16="http://schemas.microsoft.com/office/drawing/2014/main" id="{0D423DBA-C559-49D2-AE63-54E24FD69E80}"/>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p>
    <w:p w14:paraId="39C92A1C" w14:textId="0258C25B" w:rsidR="00093C91" w:rsidRPr="00D14885" w:rsidRDefault="00093C91" w:rsidP="00093C91">
      <w:pPr>
        <w:spacing w:after="0" w:line="240" w:lineRule="auto"/>
        <w:rPr>
          <w:rFonts w:ascii="Arial" w:hAnsi="Arial" w:cs="Arial"/>
          <w:sz w:val="20"/>
          <w:szCs w:val="20"/>
        </w:rPr>
      </w:pPr>
    </w:p>
    <w:p w14:paraId="6E968772" w14:textId="7D934AB0" w:rsidR="00E30F2F" w:rsidRPr="00D14885" w:rsidRDefault="00711E44" w:rsidP="009F6C34">
      <w:pPr>
        <w:pStyle w:val="ListParagraph"/>
        <w:spacing w:after="0" w:line="240" w:lineRule="auto"/>
        <w:rPr>
          <w:rFonts w:ascii="Arial" w:hAnsi="Arial" w:cs="Arial"/>
          <w:sz w:val="20"/>
          <w:szCs w:val="20"/>
        </w:rPr>
      </w:pPr>
      <w:r w:rsidRPr="00D14885">
        <w:rPr>
          <w:rFonts w:ascii="Arial" w:hAnsi="Arial" w:cs="Arial"/>
          <w:sz w:val="20"/>
          <w:szCs w:val="20"/>
        </w:rPr>
        <w:t xml:space="preserve">Complete </w:t>
      </w:r>
      <w:r w:rsidR="00BC3C8B" w:rsidRPr="00D14885">
        <w:rPr>
          <w:rFonts w:ascii="Arial" w:hAnsi="Arial" w:cs="Arial"/>
          <w:sz w:val="20"/>
          <w:szCs w:val="20"/>
        </w:rPr>
        <w:t xml:space="preserve">3 monthly </w:t>
      </w:r>
      <w:r w:rsidR="00BC3C8B" w:rsidRPr="00D14885">
        <w:rPr>
          <w:rFonts w:ascii="Arial" w:hAnsi="Arial" w:cs="Arial"/>
          <w:b/>
          <w:sz w:val="20"/>
          <w:szCs w:val="20"/>
        </w:rPr>
        <w:t>sexual health screening</w:t>
      </w:r>
      <w:r w:rsidR="00BC3C8B" w:rsidRPr="00D14885">
        <w:rPr>
          <w:rFonts w:ascii="Arial" w:hAnsi="Arial" w:cs="Arial"/>
          <w:sz w:val="20"/>
          <w:szCs w:val="20"/>
        </w:rPr>
        <w:t xml:space="preserve"> including a HIV test</w:t>
      </w:r>
      <w:r w:rsidR="00B44EBB" w:rsidRPr="00D14885">
        <w:rPr>
          <w:rFonts w:ascii="Arial" w:hAnsi="Arial" w:cs="Arial"/>
          <w:sz w:val="20"/>
          <w:szCs w:val="20"/>
        </w:rPr>
        <w:t xml:space="preserve"> </w:t>
      </w:r>
      <w:r w:rsidR="00BC3C8B" w:rsidRPr="00D14885">
        <w:rPr>
          <w:rFonts w:ascii="Arial" w:hAnsi="Arial" w:cs="Arial"/>
          <w:sz w:val="20"/>
          <w:szCs w:val="20"/>
        </w:rPr>
        <w:t>– this can also be done via online home testing postal kits</w:t>
      </w:r>
      <w:r w:rsidR="00B44EBB" w:rsidRPr="00D14885">
        <w:rPr>
          <w:rFonts w:ascii="Arial" w:hAnsi="Arial" w:cs="Arial"/>
          <w:sz w:val="20"/>
          <w:szCs w:val="20"/>
        </w:rPr>
        <w:t xml:space="preserve"> such as Sexual Health London (</w:t>
      </w:r>
      <w:hyperlink r:id="rId12" w:history="1">
        <w:r w:rsidR="00B44EBB" w:rsidRPr="00D14885">
          <w:rPr>
            <w:rStyle w:val="Hyperlink"/>
            <w:rFonts w:ascii="Arial" w:hAnsi="Arial" w:cs="Arial"/>
          </w:rPr>
          <w:t>Sexual Health London • SHL.UK</w:t>
        </w:r>
      </w:hyperlink>
      <w:r w:rsidR="00B44EBB" w:rsidRPr="00D14885">
        <w:rPr>
          <w:rFonts w:ascii="Arial" w:hAnsi="Arial" w:cs="Arial"/>
        </w:rPr>
        <w:t>)</w:t>
      </w:r>
      <w:r w:rsidR="00BC3C8B" w:rsidRPr="00D14885">
        <w:rPr>
          <w:rFonts w:ascii="Arial" w:hAnsi="Arial" w:cs="Arial"/>
          <w:sz w:val="20"/>
          <w:szCs w:val="20"/>
        </w:rPr>
        <w:t xml:space="preserve">. </w:t>
      </w:r>
    </w:p>
    <w:p w14:paraId="2F24E1B1" w14:textId="26DE32A9" w:rsidR="00093C91" w:rsidRPr="00D14885" w:rsidRDefault="00093C91" w:rsidP="00093C91">
      <w:pPr>
        <w:spacing w:after="0" w:line="240" w:lineRule="auto"/>
        <w:rPr>
          <w:rFonts w:ascii="Arial" w:hAnsi="Arial" w:cs="Arial"/>
          <w:sz w:val="20"/>
          <w:szCs w:val="20"/>
        </w:rPr>
      </w:pPr>
    </w:p>
    <w:p w14:paraId="7780E7F2" w14:textId="06517066" w:rsidR="00093C91" w:rsidRPr="00D14885" w:rsidRDefault="00093C91" w:rsidP="00093C91">
      <w:pPr>
        <w:spacing w:after="0" w:line="240" w:lineRule="auto"/>
        <w:rPr>
          <w:rFonts w:ascii="Arial" w:hAnsi="Arial" w:cs="Arial"/>
          <w:sz w:val="20"/>
          <w:szCs w:val="20"/>
        </w:rPr>
      </w:pPr>
    </w:p>
    <w:p w14:paraId="0A89AEB0" w14:textId="7D51AF13" w:rsidR="00093C91" w:rsidRPr="00D14885" w:rsidRDefault="00A91BA8" w:rsidP="00F23749">
      <w:pPr>
        <w:pStyle w:val="ListParagraph"/>
        <w:spacing w:after="0" w:line="240" w:lineRule="auto"/>
        <w:rPr>
          <w:rFonts w:ascii="Arial" w:hAnsi="Arial" w:cs="Arial"/>
          <w:sz w:val="20"/>
          <w:szCs w:val="20"/>
        </w:rPr>
      </w:pPr>
      <w:r w:rsidRPr="00D14885">
        <w:rPr>
          <w:rFonts w:ascii="Arial" w:hAnsi="Arial" w:cs="Arial"/>
          <w:noProof/>
        </w:rPr>
        <w:drawing>
          <wp:anchor distT="0" distB="0" distL="114300" distR="114300" simplePos="0" relativeHeight="251666432" behindDoc="1" locked="0" layoutInCell="1" allowOverlap="1" wp14:anchorId="3078F879" wp14:editId="17D803D2">
            <wp:simplePos x="0" y="0"/>
            <wp:positionH relativeFrom="margin">
              <wp:posOffset>-95885</wp:posOffset>
            </wp:positionH>
            <wp:positionV relativeFrom="paragraph">
              <wp:posOffset>180975</wp:posOffset>
            </wp:positionV>
            <wp:extent cx="450850" cy="511175"/>
            <wp:effectExtent l="0" t="0" r="0" b="0"/>
            <wp:wrapTight wrapText="bothSides">
              <wp:wrapPolygon edited="0">
                <wp:start x="2738" y="1610"/>
                <wp:lineTo x="913" y="7245"/>
                <wp:lineTo x="913" y="12880"/>
                <wp:lineTo x="3651" y="16099"/>
                <wp:lineTo x="7301" y="19319"/>
                <wp:lineTo x="13690" y="19319"/>
                <wp:lineTo x="18254" y="16099"/>
                <wp:lineTo x="20079" y="12075"/>
                <wp:lineTo x="20079" y="6440"/>
                <wp:lineTo x="18254" y="1610"/>
                <wp:lineTo x="2738" y="1610"/>
              </wp:wrapPolygon>
            </wp:wrapTight>
            <wp:docPr id="15" name="Graphic 45" descr="Kidneys">
              <a:extLst xmlns:a="http://schemas.openxmlformats.org/drawingml/2006/main">
                <a:ext uri="{FF2B5EF4-FFF2-40B4-BE49-F238E27FC236}">
                  <a16:creationId xmlns:a16="http://schemas.microsoft.com/office/drawing/2014/main" id="{F0548F29-15ED-4664-9F4F-0F3A86A2C868}"/>
                </a:ext>
              </a:extLst>
            </wp:docPr>
            <wp:cNvGraphicFramePr/>
            <a:graphic xmlns:a="http://schemas.openxmlformats.org/drawingml/2006/main">
              <a:graphicData uri="http://schemas.openxmlformats.org/drawingml/2006/picture">
                <pic:pic xmlns:pic="http://schemas.openxmlformats.org/drawingml/2006/picture">
                  <pic:nvPicPr>
                    <pic:cNvPr id="15" name="Graphic 45" descr="Kidneys">
                      <a:extLst>
                        <a:ext uri="{FF2B5EF4-FFF2-40B4-BE49-F238E27FC236}">
                          <a16:creationId xmlns:a16="http://schemas.microsoft.com/office/drawing/2014/main" id="{F0548F29-15ED-4664-9F4F-0F3A86A2C868}"/>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0850" cy="511175"/>
                    </a:xfrm>
                    <a:prstGeom prst="rect">
                      <a:avLst/>
                    </a:prstGeom>
                  </pic:spPr>
                </pic:pic>
              </a:graphicData>
            </a:graphic>
            <wp14:sizeRelH relativeFrom="page">
              <wp14:pctWidth>0</wp14:pctWidth>
            </wp14:sizeRelH>
            <wp14:sizeRelV relativeFrom="page">
              <wp14:pctHeight>0</wp14:pctHeight>
            </wp14:sizeRelV>
          </wp:anchor>
        </w:drawing>
      </w:r>
      <w:r w:rsidR="00C4598A" w:rsidRPr="00D14885">
        <w:rPr>
          <w:rFonts w:ascii="Arial" w:hAnsi="Arial" w:cs="Arial"/>
          <w:b/>
          <w:sz w:val="20"/>
          <w:szCs w:val="20"/>
        </w:rPr>
        <w:t>Renal function</w:t>
      </w:r>
      <w:r w:rsidR="00C4598A" w:rsidRPr="00D14885">
        <w:rPr>
          <w:rFonts w:ascii="Arial" w:hAnsi="Arial" w:cs="Arial"/>
          <w:sz w:val="20"/>
          <w:szCs w:val="20"/>
        </w:rPr>
        <w:t xml:space="preserve"> is monitored</w:t>
      </w:r>
      <w:r w:rsidR="00B44EBB" w:rsidRPr="00D14885">
        <w:rPr>
          <w:rFonts w:ascii="Arial" w:hAnsi="Arial" w:cs="Arial"/>
          <w:sz w:val="20"/>
          <w:szCs w:val="20"/>
        </w:rPr>
        <w:t xml:space="preserve"> by the sexual health clinic</w:t>
      </w:r>
      <w:r w:rsidR="00C4598A" w:rsidRPr="00D14885">
        <w:rPr>
          <w:rFonts w:ascii="Arial" w:hAnsi="Arial" w:cs="Arial"/>
          <w:sz w:val="20"/>
          <w:szCs w:val="20"/>
        </w:rPr>
        <w:t xml:space="preserve"> between 6 monthly and annually depending on age and renal risk factors.</w:t>
      </w:r>
      <w:r w:rsidR="00925F9C" w:rsidRPr="00D14885">
        <w:rPr>
          <w:rFonts w:ascii="Arial" w:hAnsi="Arial" w:cs="Arial"/>
          <w:sz w:val="20"/>
          <w:szCs w:val="20"/>
        </w:rPr>
        <w:t xml:space="preserve"> </w:t>
      </w:r>
    </w:p>
    <w:p w14:paraId="1D925BAD" w14:textId="01ECCB0C" w:rsidR="009F6C34" w:rsidRPr="00D14885" w:rsidRDefault="00E30F2F" w:rsidP="00F23749">
      <w:pPr>
        <w:spacing w:after="0" w:line="240" w:lineRule="auto"/>
        <w:ind w:left="720"/>
        <w:rPr>
          <w:rFonts w:ascii="Arial" w:hAnsi="Arial" w:cs="Arial"/>
          <w:sz w:val="20"/>
          <w:szCs w:val="20"/>
        </w:rPr>
      </w:pPr>
      <w:r w:rsidRPr="00D14885">
        <w:rPr>
          <w:rFonts w:ascii="Arial" w:eastAsia="Microsoft YaHei" w:hAnsi="Arial" w:cs="Arial"/>
          <w:sz w:val="20"/>
          <w:szCs w:val="20"/>
        </w:rPr>
        <w:t xml:space="preserve">Renal impairment may be caused by tenofovir disoproxil based PrEP. </w:t>
      </w:r>
      <w:r w:rsidR="00711E44" w:rsidRPr="00D14885">
        <w:rPr>
          <w:rFonts w:ascii="Arial" w:eastAsia="Microsoft YaHei" w:hAnsi="Arial" w:cs="Arial"/>
          <w:sz w:val="20"/>
          <w:szCs w:val="20"/>
        </w:rPr>
        <w:t xml:space="preserve"> </w:t>
      </w:r>
      <w:r w:rsidRPr="00D14885">
        <w:rPr>
          <w:rFonts w:ascii="Arial" w:eastAsia="Microsoft YaHei" w:hAnsi="Arial" w:cs="Arial"/>
          <w:sz w:val="20"/>
          <w:szCs w:val="20"/>
        </w:rPr>
        <w:t xml:space="preserve">If eGFR </w:t>
      </w:r>
      <w:r w:rsidR="0016598F" w:rsidRPr="00D14885">
        <w:rPr>
          <w:rFonts w:ascii="Arial" w:eastAsia="Microsoft YaHei" w:hAnsi="Arial" w:cs="Arial"/>
          <w:sz w:val="20"/>
          <w:szCs w:val="20"/>
        </w:rPr>
        <w:t>&lt;</w:t>
      </w:r>
      <w:r w:rsidRPr="00D14885">
        <w:rPr>
          <w:rFonts w:ascii="Arial" w:eastAsia="Microsoft YaHei" w:hAnsi="Arial" w:cs="Arial"/>
          <w:sz w:val="20"/>
          <w:szCs w:val="20"/>
        </w:rPr>
        <w:t xml:space="preserve"> 90ml/min and they are on PrE</w:t>
      </w:r>
      <w:r w:rsidR="0016598F" w:rsidRPr="00D14885">
        <w:rPr>
          <w:rFonts w:ascii="Arial" w:eastAsia="Microsoft YaHei" w:hAnsi="Arial" w:cs="Arial"/>
          <w:sz w:val="20"/>
          <w:szCs w:val="20"/>
        </w:rPr>
        <w:t xml:space="preserve">P Repeat Renal function in 2-4 weeks. Rule out other causes such as protein/creatine supplements, DM, BP and check UACR. </w:t>
      </w:r>
    </w:p>
    <w:p w14:paraId="7EE39520" w14:textId="4E8D4B66" w:rsidR="00711E44" w:rsidRPr="00D14885" w:rsidRDefault="0016598F" w:rsidP="00F23749">
      <w:pPr>
        <w:spacing w:after="0" w:line="240" w:lineRule="auto"/>
        <w:ind w:left="720"/>
        <w:rPr>
          <w:rFonts w:ascii="Arial" w:hAnsi="Arial" w:cs="Arial"/>
          <w:sz w:val="20"/>
          <w:szCs w:val="20"/>
        </w:rPr>
      </w:pPr>
      <w:r w:rsidRPr="00D14885">
        <w:rPr>
          <w:rFonts w:ascii="Arial" w:eastAsia="Microsoft YaHei" w:hAnsi="Arial" w:cs="Arial"/>
          <w:sz w:val="20"/>
          <w:szCs w:val="20"/>
        </w:rPr>
        <w:t>If renal impairment likely due to PrEP please refer back to the sexual heath clinic as they may need a dose reduction or change to Descovy PrEP.</w:t>
      </w:r>
    </w:p>
    <w:p w14:paraId="02FAF5D2" w14:textId="74C6741B" w:rsidR="00093C91" w:rsidRPr="00D14885" w:rsidRDefault="00093C91" w:rsidP="00093C91">
      <w:pPr>
        <w:pStyle w:val="NoSpacing"/>
        <w:rPr>
          <w:rFonts w:ascii="Arial" w:eastAsia="Microsoft YaHei" w:hAnsi="Arial" w:cs="Arial"/>
          <w:sz w:val="20"/>
          <w:szCs w:val="20"/>
        </w:rPr>
      </w:pPr>
    </w:p>
    <w:p w14:paraId="72A29FF1" w14:textId="5A9DBDDB" w:rsidR="00093C91" w:rsidRPr="00D14885" w:rsidRDefault="00A91BA8" w:rsidP="00093C91">
      <w:pPr>
        <w:pStyle w:val="NoSpacing"/>
        <w:rPr>
          <w:rFonts w:ascii="Arial" w:eastAsia="Microsoft YaHei" w:hAnsi="Arial" w:cs="Arial"/>
          <w:sz w:val="20"/>
          <w:szCs w:val="20"/>
        </w:rPr>
      </w:pPr>
      <w:r w:rsidRPr="00D14885">
        <w:rPr>
          <w:rFonts w:ascii="Arial" w:eastAsia="Microsoft YaHei" w:hAnsi="Arial" w:cs="Arial"/>
          <w:noProof/>
          <w:sz w:val="20"/>
          <w:szCs w:val="20"/>
        </w:rPr>
        <w:drawing>
          <wp:anchor distT="0" distB="0" distL="114300" distR="114300" simplePos="0" relativeHeight="251668480" behindDoc="1" locked="0" layoutInCell="1" allowOverlap="1" wp14:anchorId="3905EB83" wp14:editId="5B4C4593">
            <wp:simplePos x="0" y="0"/>
            <wp:positionH relativeFrom="column">
              <wp:posOffset>-127000</wp:posOffset>
            </wp:positionH>
            <wp:positionV relativeFrom="paragraph">
              <wp:posOffset>149225</wp:posOffset>
            </wp:positionV>
            <wp:extent cx="533400" cy="533400"/>
            <wp:effectExtent l="0" t="0" r="0" b="0"/>
            <wp:wrapTight wrapText="bothSides">
              <wp:wrapPolygon edited="0">
                <wp:start x="12343" y="0"/>
                <wp:lineTo x="0" y="13886"/>
                <wp:lineTo x="0" y="14657"/>
                <wp:lineTo x="4629" y="19286"/>
                <wp:lineTo x="5400" y="20829"/>
                <wp:lineTo x="8486" y="20829"/>
                <wp:lineTo x="11571" y="13886"/>
                <wp:lineTo x="20057" y="8486"/>
                <wp:lineTo x="20057" y="3857"/>
                <wp:lineTo x="15429" y="0"/>
                <wp:lineTo x="12343" y="0"/>
              </wp:wrapPolygon>
            </wp:wrapTight>
            <wp:docPr id="4" name="Graphic 2" descr="Bone">
              <a:extLst xmlns:a="http://schemas.openxmlformats.org/drawingml/2006/main">
                <a:ext uri="{FF2B5EF4-FFF2-40B4-BE49-F238E27FC236}">
                  <a16:creationId xmlns:a16="http://schemas.microsoft.com/office/drawing/2014/main" id="{D888DD73-1CFF-4838-8E3F-18894872B6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one">
                      <a:extLst>
                        <a:ext uri="{FF2B5EF4-FFF2-40B4-BE49-F238E27FC236}">
                          <a16:creationId xmlns:a16="http://schemas.microsoft.com/office/drawing/2014/main" id="{D888DD73-1CFF-4838-8E3F-18894872B6A6}"/>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p>
    <w:p w14:paraId="29F63EC7" w14:textId="73C695B5" w:rsidR="00A91BA8" w:rsidRPr="00D14885" w:rsidRDefault="00711E44" w:rsidP="00A91BA8">
      <w:pPr>
        <w:pStyle w:val="NoSpacing"/>
        <w:ind w:left="720"/>
        <w:rPr>
          <w:rFonts w:ascii="Arial" w:eastAsia="Microsoft YaHei" w:hAnsi="Arial" w:cs="Arial"/>
          <w:sz w:val="20"/>
          <w:szCs w:val="20"/>
        </w:rPr>
      </w:pPr>
      <w:r w:rsidRPr="00D14885">
        <w:rPr>
          <w:rFonts w:ascii="Arial" w:eastAsia="Microsoft YaHei" w:hAnsi="Arial" w:cs="Arial"/>
          <w:sz w:val="20"/>
          <w:szCs w:val="20"/>
        </w:rPr>
        <w:t xml:space="preserve">Consider </w:t>
      </w:r>
      <w:r w:rsidRPr="00D14885">
        <w:rPr>
          <w:rFonts w:ascii="Arial" w:eastAsia="Microsoft YaHei" w:hAnsi="Arial" w:cs="Arial"/>
          <w:b/>
          <w:sz w:val="20"/>
          <w:szCs w:val="20"/>
        </w:rPr>
        <w:t>bone health</w:t>
      </w:r>
      <w:r w:rsidRPr="00D14885">
        <w:rPr>
          <w:rFonts w:ascii="Arial" w:eastAsia="Microsoft YaHei" w:hAnsi="Arial" w:cs="Arial"/>
          <w:sz w:val="20"/>
          <w:szCs w:val="20"/>
        </w:rPr>
        <w:t>, if patient is under 18 or &gt;50 with risk factors for osteoporosis</w:t>
      </w:r>
      <w:r w:rsidR="00060405">
        <w:rPr>
          <w:rFonts w:ascii="Arial" w:eastAsia="Microsoft YaHei" w:hAnsi="Arial" w:cs="Arial"/>
          <w:sz w:val="20"/>
          <w:szCs w:val="20"/>
        </w:rPr>
        <w:t>, f</w:t>
      </w:r>
      <w:r w:rsidRPr="00D14885">
        <w:rPr>
          <w:rFonts w:ascii="Arial" w:eastAsia="Microsoft YaHei" w:hAnsi="Arial" w:cs="Arial"/>
          <w:sz w:val="20"/>
          <w:szCs w:val="20"/>
        </w:rPr>
        <w:t xml:space="preserve">racture risk should be calculated. </w:t>
      </w:r>
    </w:p>
    <w:p w14:paraId="1505FBAE" w14:textId="08B4562F" w:rsidR="00711E44" w:rsidRPr="00D14885" w:rsidRDefault="00711E44" w:rsidP="00A91BA8">
      <w:pPr>
        <w:pStyle w:val="NoSpacing"/>
        <w:ind w:left="720"/>
        <w:rPr>
          <w:rFonts w:ascii="Arial" w:eastAsia="Microsoft YaHei" w:hAnsi="Arial" w:cs="Arial"/>
          <w:sz w:val="20"/>
          <w:szCs w:val="20"/>
        </w:rPr>
      </w:pPr>
      <w:r w:rsidRPr="00D14885">
        <w:rPr>
          <w:rFonts w:ascii="Arial" w:eastAsia="Microsoft YaHei" w:hAnsi="Arial" w:cs="Arial"/>
          <w:sz w:val="20"/>
          <w:szCs w:val="20"/>
        </w:rPr>
        <w:t>If someone on PrEP has new diagnosis, fragility fractures or QFracture/FRAX &gt;10% then refer back to their sexual health clinic as appropriate as they may need to swit</w:t>
      </w:r>
      <w:r w:rsidR="00B63C80" w:rsidRPr="00D14885">
        <w:rPr>
          <w:rFonts w:ascii="Arial" w:eastAsia="Microsoft YaHei" w:hAnsi="Arial" w:cs="Arial"/>
          <w:sz w:val="20"/>
          <w:szCs w:val="20"/>
        </w:rPr>
        <w:t>c</w:t>
      </w:r>
      <w:r w:rsidRPr="00D14885">
        <w:rPr>
          <w:rFonts w:ascii="Arial" w:eastAsia="Microsoft YaHei" w:hAnsi="Arial" w:cs="Arial"/>
          <w:sz w:val="20"/>
          <w:szCs w:val="20"/>
        </w:rPr>
        <w:t xml:space="preserve">h to Descovy PrEP. </w:t>
      </w:r>
    </w:p>
    <w:p w14:paraId="02D7A3AE" w14:textId="3C7DA889" w:rsidR="00711E44" w:rsidRDefault="00711E44" w:rsidP="0016598F">
      <w:pPr>
        <w:pStyle w:val="NoSpacing"/>
        <w:rPr>
          <w:rFonts w:ascii="Arial" w:eastAsia="Microsoft YaHei" w:hAnsi="Arial" w:cs="Arial"/>
          <w:sz w:val="20"/>
          <w:szCs w:val="20"/>
        </w:rPr>
      </w:pPr>
    </w:p>
    <w:p w14:paraId="61126F1F" w14:textId="428A9C5F" w:rsidR="00711E44" w:rsidRDefault="00711E44" w:rsidP="0016598F">
      <w:pPr>
        <w:pStyle w:val="NoSpacing"/>
        <w:rPr>
          <w:rFonts w:ascii="Arial" w:eastAsia="Microsoft YaHei" w:hAnsi="Arial" w:cs="Arial"/>
          <w:sz w:val="20"/>
          <w:szCs w:val="20"/>
        </w:rPr>
      </w:pPr>
    </w:p>
    <w:p w14:paraId="79E06A6A" w14:textId="77777777" w:rsidR="00CD5B70" w:rsidRPr="00C4598A" w:rsidRDefault="00CD5B70" w:rsidP="00093C91">
      <w:pPr>
        <w:pStyle w:val="NoSpacing"/>
        <w:rPr>
          <w:rFonts w:ascii="Arial" w:hAnsi="Arial" w:cs="Arial"/>
          <w:b/>
          <w:sz w:val="20"/>
          <w:szCs w:val="20"/>
        </w:rPr>
      </w:pPr>
    </w:p>
    <w:p w14:paraId="315F55F3" w14:textId="77777777" w:rsidR="00C4598A" w:rsidRPr="00D14885" w:rsidRDefault="00C4598A" w:rsidP="00C4598A">
      <w:pPr>
        <w:spacing w:after="0" w:line="240" w:lineRule="auto"/>
        <w:rPr>
          <w:rFonts w:ascii="Arial" w:hAnsi="Arial" w:cs="Arial"/>
          <w:b/>
          <w:bCs/>
          <w:sz w:val="20"/>
          <w:szCs w:val="20"/>
        </w:rPr>
      </w:pPr>
      <w:r w:rsidRPr="00D14885">
        <w:rPr>
          <w:rFonts w:ascii="Arial" w:hAnsi="Arial" w:cs="Arial"/>
          <w:b/>
          <w:bCs/>
          <w:sz w:val="20"/>
          <w:szCs w:val="20"/>
        </w:rPr>
        <w:t>Useful resources:</w:t>
      </w:r>
    </w:p>
    <w:p w14:paraId="72F0FC17" w14:textId="77777777" w:rsidR="00711E44" w:rsidRPr="00D14885" w:rsidRDefault="00711E44" w:rsidP="00C4598A">
      <w:pPr>
        <w:spacing w:after="0" w:line="240" w:lineRule="auto"/>
        <w:rPr>
          <w:rFonts w:ascii="Arial" w:hAnsi="Arial" w:cs="Arial"/>
          <w:b/>
          <w:bCs/>
          <w:sz w:val="20"/>
          <w:szCs w:val="20"/>
        </w:rPr>
      </w:pPr>
    </w:p>
    <w:p w14:paraId="3171256B" w14:textId="77777777" w:rsidR="00C4598A" w:rsidRPr="00D14885" w:rsidRDefault="00C4598A" w:rsidP="009F6C34">
      <w:pPr>
        <w:pStyle w:val="ListParagraph"/>
        <w:numPr>
          <w:ilvl w:val="0"/>
          <w:numId w:val="15"/>
        </w:numPr>
        <w:spacing w:after="0" w:line="240" w:lineRule="auto"/>
        <w:rPr>
          <w:rFonts w:ascii="Arial" w:hAnsi="Arial" w:cs="Arial"/>
          <w:sz w:val="20"/>
          <w:szCs w:val="20"/>
        </w:rPr>
      </w:pPr>
      <w:r w:rsidRPr="00D14885">
        <w:rPr>
          <w:rFonts w:ascii="Arial" w:hAnsi="Arial" w:cs="Arial"/>
          <w:sz w:val="20"/>
          <w:szCs w:val="20"/>
        </w:rPr>
        <w:t>BHIVA/BASHH guidelines on the use of HIV pre-exposure prophylaxis (</w:t>
      </w:r>
      <w:proofErr w:type="spellStart"/>
      <w:r w:rsidRPr="00D14885">
        <w:rPr>
          <w:rFonts w:ascii="Arial" w:hAnsi="Arial" w:cs="Arial"/>
          <w:sz w:val="20"/>
          <w:szCs w:val="20"/>
        </w:rPr>
        <w:t>PrEP</w:t>
      </w:r>
      <w:proofErr w:type="spellEnd"/>
      <w:r w:rsidRPr="00D14885">
        <w:rPr>
          <w:rFonts w:ascii="Arial" w:hAnsi="Arial" w:cs="Arial"/>
          <w:sz w:val="20"/>
          <w:szCs w:val="20"/>
        </w:rPr>
        <w:t xml:space="preserve">) 2018: </w:t>
      </w:r>
      <w:hyperlink r:id="rId17" w:history="1">
        <w:r w:rsidRPr="00D14885">
          <w:rPr>
            <w:rStyle w:val="Hyperlink"/>
            <w:rFonts w:ascii="Arial" w:hAnsi="Arial" w:cs="Arial"/>
            <w:sz w:val="20"/>
            <w:szCs w:val="20"/>
          </w:rPr>
          <w:t>https://www.bhiva.org/file/5b729cd592060/2018-PrEP-Guidelines.pdf</w:t>
        </w:r>
      </w:hyperlink>
      <w:r w:rsidRPr="00D14885">
        <w:rPr>
          <w:rFonts w:ascii="Arial" w:hAnsi="Arial" w:cs="Arial"/>
          <w:sz w:val="20"/>
          <w:szCs w:val="20"/>
        </w:rPr>
        <w:t xml:space="preserve"> </w:t>
      </w:r>
    </w:p>
    <w:p w14:paraId="5361AB6C" w14:textId="77777777" w:rsidR="00711E44" w:rsidRPr="00D14885" w:rsidRDefault="00711E44" w:rsidP="00C4598A">
      <w:pPr>
        <w:spacing w:after="0" w:line="240" w:lineRule="auto"/>
        <w:rPr>
          <w:rFonts w:ascii="Arial" w:hAnsi="Arial" w:cs="Arial"/>
          <w:sz w:val="20"/>
          <w:szCs w:val="20"/>
        </w:rPr>
      </w:pPr>
    </w:p>
    <w:p w14:paraId="5CEF1A02" w14:textId="2B338A08" w:rsidR="00711E44" w:rsidRPr="00D14885" w:rsidRDefault="00C4598A" w:rsidP="009F6C34">
      <w:pPr>
        <w:pStyle w:val="ListParagraph"/>
        <w:numPr>
          <w:ilvl w:val="0"/>
          <w:numId w:val="15"/>
        </w:numPr>
        <w:spacing w:after="0" w:line="240" w:lineRule="auto"/>
        <w:rPr>
          <w:rFonts w:ascii="Arial" w:hAnsi="Arial" w:cs="Arial"/>
          <w:sz w:val="20"/>
          <w:szCs w:val="20"/>
        </w:rPr>
      </w:pPr>
      <w:r w:rsidRPr="00D14885">
        <w:rPr>
          <w:rFonts w:ascii="Arial" w:hAnsi="Arial" w:cs="Arial"/>
          <w:sz w:val="20"/>
          <w:szCs w:val="20"/>
        </w:rPr>
        <w:t>UK guide to PrEP – ibase</w:t>
      </w:r>
      <w:r w:rsidR="006D6417" w:rsidRPr="00D14885">
        <w:rPr>
          <w:rFonts w:ascii="Arial" w:hAnsi="Arial" w:cs="Arial"/>
          <w:sz w:val="20"/>
          <w:szCs w:val="20"/>
        </w:rPr>
        <w:t xml:space="preserve">: </w:t>
      </w:r>
      <w:hyperlink r:id="rId18" w:history="1">
        <w:r w:rsidRPr="00D14885">
          <w:rPr>
            <w:rStyle w:val="Hyperlink"/>
            <w:rFonts w:ascii="Arial" w:hAnsi="Arial" w:cs="Arial"/>
            <w:sz w:val="20"/>
            <w:szCs w:val="20"/>
          </w:rPr>
          <w:t>PrEP-guide-UK-Feb-2024-FIN.pdf (i-base.info)</w:t>
        </w:r>
      </w:hyperlink>
      <w:r w:rsidRPr="00D14885">
        <w:rPr>
          <w:rFonts w:ascii="Arial" w:hAnsi="Arial" w:cs="Arial"/>
          <w:sz w:val="20"/>
          <w:szCs w:val="20"/>
        </w:rPr>
        <w:t xml:space="preserve"> </w:t>
      </w:r>
    </w:p>
    <w:p w14:paraId="7F59A411" w14:textId="77777777" w:rsidR="009F6C34" w:rsidRPr="00D14885" w:rsidRDefault="009F6C34" w:rsidP="006D6417">
      <w:pPr>
        <w:spacing w:after="0" w:line="240" w:lineRule="auto"/>
        <w:rPr>
          <w:rFonts w:ascii="Arial" w:hAnsi="Arial" w:cs="Arial"/>
          <w:sz w:val="20"/>
          <w:szCs w:val="20"/>
        </w:rPr>
      </w:pPr>
    </w:p>
    <w:p w14:paraId="5F0A96C4" w14:textId="330FDDA7" w:rsidR="00E15504" w:rsidRPr="00D14885" w:rsidRDefault="00000000" w:rsidP="009F6C34">
      <w:pPr>
        <w:pStyle w:val="ListParagraph"/>
        <w:numPr>
          <w:ilvl w:val="0"/>
          <w:numId w:val="15"/>
        </w:numPr>
        <w:spacing w:after="0" w:line="240" w:lineRule="auto"/>
        <w:rPr>
          <w:rFonts w:ascii="Arial" w:hAnsi="Arial" w:cs="Arial"/>
          <w:sz w:val="20"/>
          <w:szCs w:val="20"/>
        </w:rPr>
      </w:pPr>
      <w:hyperlink r:id="rId19" w:history="1">
        <w:r w:rsidR="009F6C34" w:rsidRPr="00D14885">
          <w:rPr>
            <w:rStyle w:val="Hyperlink"/>
            <w:rFonts w:ascii="Arial" w:hAnsi="Arial" w:cs="Arial"/>
            <w:sz w:val="20"/>
            <w:szCs w:val="20"/>
          </w:rPr>
          <w:t>https://prepster.info/</w:t>
        </w:r>
      </w:hyperlink>
      <w:r w:rsidR="009F6C34" w:rsidRPr="00D14885">
        <w:rPr>
          <w:rFonts w:ascii="Arial" w:hAnsi="Arial" w:cs="Arial"/>
          <w:sz w:val="20"/>
          <w:szCs w:val="20"/>
        </w:rPr>
        <w:t xml:space="preserve"> </w:t>
      </w:r>
    </w:p>
    <w:p w14:paraId="28F4F7C8" w14:textId="02B71A73" w:rsidR="00711E44" w:rsidRPr="00D14885" w:rsidRDefault="00711E44" w:rsidP="006D6417">
      <w:pPr>
        <w:spacing w:after="0" w:line="240" w:lineRule="auto"/>
        <w:rPr>
          <w:rFonts w:ascii="Arial" w:hAnsi="Arial" w:cs="Arial"/>
          <w:sz w:val="20"/>
          <w:szCs w:val="20"/>
        </w:rPr>
      </w:pPr>
    </w:p>
    <w:p w14:paraId="457E6BE5" w14:textId="460B8D52" w:rsidR="009F6C34" w:rsidRPr="00D14885" w:rsidRDefault="00000000" w:rsidP="009F6C34">
      <w:pPr>
        <w:pStyle w:val="ListParagraph"/>
        <w:numPr>
          <w:ilvl w:val="0"/>
          <w:numId w:val="15"/>
        </w:numPr>
        <w:spacing w:after="0" w:line="240" w:lineRule="auto"/>
        <w:rPr>
          <w:rFonts w:ascii="Arial" w:hAnsi="Arial" w:cs="Arial"/>
          <w:sz w:val="20"/>
          <w:szCs w:val="20"/>
        </w:rPr>
      </w:pPr>
      <w:hyperlink r:id="rId20" w:history="1">
        <w:r w:rsidR="009F6C34" w:rsidRPr="00D14885">
          <w:rPr>
            <w:rStyle w:val="Hyperlink"/>
            <w:rFonts w:ascii="Arial" w:hAnsi="Arial" w:cs="Arial"/>
            <w:sz w:val="20"/>
            <w:szCs w:val="20"/>
          </w:rPr>
          <w:t>https://www.nhs.uk/medicines/pre-exposure-prophylaxis-prep/about-pre-exposure-prophylaxis-prep/</w:t>
        </w:r>
      </w:hyperlink>
      <w:r w:rsidR="009F6C34" w:rsidRPr="00D14885">
        <w:rPr>
          <w:rFonts w:ascii="Arial" w:hAnsi="Arial" w:cs="Arial"/>
          <w:sz w:val="20"/>
          <w:szCs w:val="20"/>
        </w:rPr>
        <w:t xml:space="preserve"> </w:t>
      </w:r>
    </w:p>
    <w:p w14:paraId="44396A0A" w14:textId="69A5E702" w:rsidR="009F6C34" w:rsidRPr="00D14885" w:rsidRDefault="009F6C34" w:rsidP="006D6417">
      <w:pPr>
        <w:spacing w:after="0" w:line="240" w:lineRule="auto"/>
        <w:rPr>
          <w:rFonts w:ascii="Arial" w:hAnsi="Arial" w:cs="Arial"/>
          <w:sz w:val="20"/>
          <w:szCs w:val="20"/>
        </w:rPr>
      </w:pPr>
    </w:p>
    <w:p w14:paraId="1C9C2EB7" w14:textId="4283FF3B" w:rsidR="009F6C34" w:rsidRPr="00D14885" w:rsidRDefault="00000000" w:rsidP="009F6C34">
      <w:pPr>
        <w:pStyle w:val="ListParagraph"/>
        <w:numPr>
          <w:ilvl w:val="0"/>
          <w:numId w:val="15"/>
        </w:numPr>
        <w:spacing w:after="0" w:line="240" w:lineRule="auto"/>
        <w:rPr>
          <w:rFonts w:ascii="Arial" w:hAnsi="Arial" w:cs="Arial"/>
          <w:sz w:val="20"/>
          <w:szCs w:val="20"/>
        </w:rPr>
      </w:pPr>
      <w:hyperlink r:id="rId21" w:history="1">
        <w:r w:rsidR="009F6C34" w:rsidRPr="00D14885">
          <w:rPr>
            <w:rStyle w:val="Hyperlink"/>
            <w:rFonts w:ascii="Arial" w:hAnsi="Arial" w:cs="Arial"/>
            <w:sz w:val="20"/>
            <w:szCs w:val="20"/>
          </w:rPr>
          <w:t>https://www.shl.uk/prep</w:t>
        </w:r>
      </w:hyperlink>
      <w:r w:rsidR="009F6C34" w:rsidRPr="00D14885">
        <w:rPr>
          <w:rFonts w:ascii="Arial" w:hAnsi="Arial" w:cs="Arial"/>
          <w:sz w:val="20"/>
          <w:szCs w:val="20"/>
        </w:rPr>
        <w:t xml:space="preserve"> </w:t>
      </w:r>
    </w:p>
    <w:p w14:paraId="59EBC438" w14:textId="77777777" w:rsidR="00A91BA8" w:rsidRPr="00D14885" w:rsidRDefault="00A91BA8" w:rsidP="00A91BA8">
      <w:pPr>
        <w:pStyle w:val="ListParagraph"/>
        <w:rPr>
          <w:rFonts w:ascii="Arial" w:hAnsi="Arial" w:cs="Arial"/>
          <w:sz w:val="20"/>
          <w:szCs w:val="20"/>
        </w:rPr>
      </w:pPr>
    </w:p>
    <w:p w14:paraId="5CE35C10" w14:textId="62A1DED0" w:rsidR="00A91BA8" w:rsidRPr="00D14885" w:rsidRDefault="00000000" w:rsidP="009F6C34">
      <w:pPr>
        <w:pStyle w:val="ListParagraph"/>
        <w:numPr>
          <w:ilvl w:val="0"/>
          <w:numId w:val="15"/>
        </w:numPr>
        <w:spacing w:after="0" w:line="240" w:lineRule="auto"/>
        <w:rPr>
          <w:rFonts w:ascii="Arial" w:hAnsi="Arial" w:cs="Arial"/>
          <w:sz w:val="20"/>
          <w:szCs w:val="20"/>
        </w:rPr>
      </w:pPr>
      <w:hyperlink r:id="rId22" w:history="1">
        <w:r w:rsidR="00A91BA8" w:rsidRPr="00D14885">
          <w:rPr>
            <w:rStyle w:val="Hyperlink"/>
            <w:rFonts w:ascii="Arial" w:hAnsi="Arial" w:cs="Arial"/>
            <w:sz w:val="20"/>
            <w:szCs w:val="20"/>
          </w:rPr>
          <w:t>https://peoplefirstcharter.org/</w:t>
        </w:r>
      </w:hyperlink>
      <w:r w:rsidR="00A91BA8" w:rsidRPr="00D14885">
        <w:rPr>
          <w:rFonts w:ascii="Arial" w:hAnsi="Arial" w:cs="Arial"/>
          <w:sz w:val="20"/>
          <w:szCs w:val="20"/>
        </w:rPr>
        <w:t xml:space="preserve"> </w:t>
      </w:r>
    </w:p>
    <w:p w14:paraId="35FD0091" w14:textId="77777777" w:rsidR="009F6C34" w:rsidRDefault="009F6C34" w:rsidP="006D6417">
      <w:pPr>
        <w:spacing w:after="0" w:line="240" w:lineRule="auto"/>
        <w:rPr>
          <w:rFonts w:ascii="Arial" w:hAnsi="Arial" w:cs="Arial"/>
          <w:sz w:val="20"/>
          <w:szCs w:val="20"/>
        </w:rPr>
      </w:pPr>
    </w:p>
    <w:p w14:paraId="5CB5410D" w14:textId="3E06E110" w:rsidR="008779FD" w:rsidRDefault="00C4598A" w:rsidP="006D6417">
      <w:pPr>
        <w:spacing w:after="0" w:line="240" w:lineRule="auto"/>
        <w:rPr>
          <w:rFonts w:ascii="Arial" w:hAnsi="Arial" w:cs="Arial"/>
          <w:sz w:val="20"/>
          <w:szCs w:val="20"/>
        </w:rPr>
      </w:pPr>
      <w:r>
        <w:rPr>
          <w:rFonts w:ascii="Arial" w:hAnsi="Arial" w:cs="Arial"/>
          <w:sz w:val="20"/>
          <w:szCs w:val="20"/>
        </w:rPr>
        <w:tab/>
      </w:r>
    </w:p>
    <w:p w14:paraId="2E598361" w14:textId="10B36963" w:rsidR="008779FD" w:rsidRDefault="008779FD" w:rsidP="008779FD">
      <w:pPr>
        <w:rPr>
          <w:rFonts w:ascii="Arial" w:hAnsi="Arial" w:cs="Arial"/>
          <w:sz w:val="20"/>
          <w:szCs w:val="20"/>
        </w:rPr>
      </w:pPr>
    </w:p>
    <w:p w14:paraId="4DDEA766" w14:textId="71C8C2E0" w:rsidR="00D203BE" w:rsidRDefault="00D203BE" w:rsidP="008779FD">
      <w:pPr>
        <w:rPr>
          <w:rFonts w:ascii="Arial" w:hAnsi="Arial" w:cs="Arial"/>
          <w:sz w:val="20"/>
          <w:szCs w:val="20"/>
        </w:rPr>
      </w:pPr>
    </w:p>
    <w:p w14:paraId="3DE90EE0" w14:textId="30EC78D3" w:rsidR="00D203BE" w:rsidRDefault="00D203BE" w:rsidP="008779FD">
      <w:pPr>
        <w:rPr>
          <w:rFonts w:ascii="Arial" w:hAnsi="Arial" w:cs="Arial"/>
          <w:sz w:val="20"/>
          <w:szCs w:val="20"/>
        </w:rPr>
      </w:pPr>
    </w:p>
    <w:p w14:paraId="7AE3FB22" w14:textId="1726484E" w:rsidR="00D203BE" w:rsidRDefault="00D203BE" w:rsidP="008779FD">
      <w:pPr>
        <w:rPr>
          <w:rFonts w:ascii="Arial" w:hAnsi="Arial" w:cs="Arial"/>
          <w:sz w:val="20"/>
          <w:szCs w:val="20"/>
        </w:rPr>
      </w:pPr>
    </w:p>
    <w:p w14:paraId="32B0A30A" w14:textId="3D6B9425" w:rsidR="00D203BE" w:rsidRDefault="00D203BE" w:rsidP="008779FD">
      <w:pPr>
        <w:rPr>
          <w:rFonts w:ascii="Arial" w:hAnsi="Arial" w:cs="Arial"/>
          <w:sz w:val="20"/>
          <w:szCs w:val="20"/>
        </w:rPr>
      </w:pPr>
    </w:p>
    <w:p w14:paraId="631F1D4A" w14:textId="3BB39585" w:rsidR="00D203BE" w:rsidRDefault="00D203BE" w:rsidP="008779FD">
      <w:pPr>
        <w:rPr>
          <w:rFonts w:ascii="Arial" w:hAnsi="Arial" w:cs="Arial"/>
          <w:sz w:val="20"/>
          <w:szCs w:val="20"/>
        </w:rPr>
      </w:pPr>
    </w:p>
    <w:p w14:paraId="4A543AA7" w14:textId="497FCA69" w:rsidR="008779FD" w:rsidRPr="00F86A4E" w:rsidRDefault="008779FD" w:rsidP="008779FD">
      <w:pPr>
        <w:rPr>
          <w:rFonts w:ascii="Arial" w:hAnsi="Arial" w:cs="Arial"/>
          <w:b/>
          <w:sz w:val="24"/>
          <w:szCs w:val="24"/>
        </w:rPr>
      </w:pPr>
      <w:r w:rsidRPr="00F86A4E">
        <w:rPr>
          <w:rFonts w:ascii="Arial" w:hAnsi="Arial" w:cs="Arial"/>
          <w:b/>
          <w:sz w:val="24"/>
          <w:szCs w:val="24"/>
        </w:rPr>
        <w:lastRenderedPageBreak/>
        <w:t xml:space="preserve">Sexual health clinics in SEL offering PrEP </w:t>
      </w:r>
    </w:p>
    <w:tbl>
      <w:tblPr>
        <w:tblStyle w:val="TableGridLight"/>
        <w:tblW w:w="0" w:type="auto"/>
        <w:tblLook w:val="04A0" w:firstRow="1" w:lastRow="0" w:firstColumn="1" w:lastColumn="0" w:noHBand="0" w:noVBand="1"/>
      </w:tblPr>
      <w:tblGrid>
        <w:gridCol w:w="1554"/>
        <w:gridCol w:w="2829"/>
        <w:gridCol w:w="1416"/>
        <w:gridCol w:w="4637"/>
      </w:tblGrid>
      <w:tr w:rsidR="00CE4F05" w:rsidRPr="00CE4F05" w14:paraId="58626805" w14:textId="77777777" w:rsidTr="00D203BE">
        <w:trPr>
          <w:trHeight w:val="432"/>
        </w:trPr>
        <w:tc>
          <w:tcPr>
            <w:tcW w:w="10436" w:type="dxa"/>
            <w:gridSpan w:val="4"/>
            <w:tcBorders>
              <w:top w:val="single" w:sz="12" w:space="0" w:color="auto"/>
              <w:left w:val="single" w:sz="12" w:space="0" w:color="auto"/>
              <w:right w:val="single" w:sz="12" w:space="0" w:color="auto"/>
            </w:tcBorders>
            <w:shd w:val="clear" w:color="auto" w:fill="F2F2F2" w:themeFill="background1" w:themeFillShade="F2"/>
            <w:vAlign w:val="center"/>
          </w:tcPr>
          <w:p w14:paraId="04053F84" w14:textId="4A65A0EC" w:rsidR="00CE4F05" w:rsidRPr="00D203BE" w:rsidRDefault="00CE4F05" w:rsidP="00322D25">
            <w:pPr>
              <w:spacing w:after="0" w:line="240" w:lineRule="auto"/>
              <w:rPr>
                <w:rFonts w:ascii="Arial" w:hAnsi="Arial" w:cs="Arial"/>
                <w:b/>
                <w:sz w:val="24"/>
                <w:szCs w:val="24"/>
              </w:rPr>
            </w:pPr>
            <w:r w:rsidRPr="00D203BE">
              <w:rPr>
                <w:rFonts w:ascii="Arial" w:hAnsi="Arial" w:cs="Arial"/>
                <w:b/>
                <w:sz w:val="24"/>
                <w:szCs w:val="24"/>
              </w:rPr>
              <w:t>Guy’s and St Thomas’ Hospital Sexual Health services</w:t>
            </w:r>
          </w:p>
        </w:tc>
      </w:tr>
      <w:tr w:rsidR="00CE4F05" w:rsidRPr="00CE4F05" w14:paraId="3DAB9CDE" w14:textId="77777777" w:rsidTr="00F86A4E">
        <w:trPr>
          <w:trHeight w:val="356"/>
        </w:trPr>
        <w:tc>
          <w:tcPr>
            <w:tcW w:w="1554" w:type="dxa"/>
            <w:tcBorders>
              <w:top w:val="single" w:sz="12" w:space="0" w:color="auto"/>
              <w:left w:val="single" w:sz="12" w:space="0" w:color="auto"/>
            </w:tcBorders>
            <w:vAlign w:val="center"/>
          </w:tcPr>
          <w:p w14:paraId="6A8F5416" w14:textId="58D35E5B" w:rsidR="00CE4F05" w:rsidRPr="00F86A4E" w:rsidRDefault="00CE4F05" w:rsidP="00CE4F05">
            <w:pPr>
              <w:spacing w:after="0" w:line="240" w:lineRule="auto"/>
              <w:rPr>
                <w:rFonts w:ascii="Arial" w:hAnsi="Arial" w:cs="Arial"/>
                <w:sz w:val="20"/>
                <w:szCs w:val="20"/>
              </w:rPr>
            </w:pPr>
            <w:r w:rsidRPr="00F86A4E">
              <w:rPr>
                <w:rFonts w:ascii="Arial" w:hAnsi="Arial" w:cs="Arial"/>
                <w:b/>
                <w:sz w:val="20"/>
                <w:szCs w:val="20"/>
              </w:rPr>
              <w:t>Clinic name</w:t>
            </w:r>
          </w:p>
        </w:tc>
        <w:tc>
          <w:tcPr>
            <w:tcW w:w="2829" w:type="dxa"/>
            <w:tcBorders>
              <w:top w:val="single" w:sz="12" w:space="0" w:color="auto"/>
            </w:tcBorders>
            <w:vAlign w:val="center"/>
          </w:tcPr>
          <w:p w14:paraId="180ED940" w14:textId="3FD7B315" w:rsidR="00CE4F05" w:rsidRPr="00F86A4E" w:rsidRDefault="00CE4F05" w:rsidP="00CE4F05">
            <w:pPr>
              <w:spacing w:after="0" w:line="240" w:lineRule="auto"/>
              <w:rPr>
                <w:rFonts w:ascii="Arial" w:hAnsi="Arial" w:cs="Arial"/>
                <w:sz w:val="20"/>
                <w:szCs w:val="20"/>
              </w:rPr>
            </w:pPr>
            <w:r w:rsidRPr="00F86A4E">
              <w:rPr>
                <w:rFonts w:ascii="Arial" w:hAnsi="Arial" w:cs="Arial"/>
                <w:sz w:val="20"/>
                <w:szCs w:val="20"/>
                <w:lang w:val="en-US"/>
              </w:rPr>
              <w:t>Burrell Street Clinic</w:t>
            </w:r>
          </w:p>
        </w:tc>
        <w:tc>
          <w:tcPr>
            <w:tcW w:w="1416" w:type="dxa"/>
            <w:tcBorders>
              <w:top w:val="single" w:sz="12" w:space="0" w:color="auto"/>
            </w:tcBorders>
            <w:vAlign w:val="center"/>
          </w:tcPr>
          <w:p w14:paraId="0CB11DB5" w14:textId="50FE074B" w:rsidR="00CE4F05" w:rsidRPr="00F86A4E" w:rsidRDefault="00CE4F05" w:rsidP="00CE4F05">
            <w:pPr>
              <w:spacing w:after="0" w:line="240" w:lineRule="auto"/>
              <w:rPr>
                <w:rFonts w:ascii="Arial" w:hAnsi="Arial" w:cs="Arial"/>
                <w:sz w:val="20"/>
                <w:szCs w:val="20"/>
              </w:rPr>
            </w:pPr>
            <w:r w:rsidRPr="00F86A4E">
              <w:rPr>
                <w:rFonts w:ascii="Arial" w:hAnsi="Arial" w:cs="Arial"/>
                <w:b/>
                <w:sz w:val="20"/>
                <w:szCs w:val="20"/>
              </w:rPr>
              <w:t xml:space="preserve">Location </w:t>
            </w:r>
          </w:p>
        </w:tc>
        <w:tc>
          <w:tcPr>
            <w:tcW w:w="4637" w:type="dxa"/>
            <w:tcBorders>
              <w:top w:val="single" w:sz="12" w:space="0" w:color="auto"/>
              <w:right w:val="single" w:sz="12" w:space="0" w:color="auto"/>
            </w:tcBorders>
            <w:vAlign w:val="center"/>
          </w:tcPr>
          <w:p w14:paraId="01CD57BD" w14:textId="3C6A99D8" w:rsidR="00CE4F05" w:rsidRPr="00F86A4E" w:rsidRDefault="00CE4F05" w:rsidP="00CE4F05">
            <w:pPr>
              <w:spacing w:after="0" w:line="240" w:lineRule="auto"/>
              <w:rPr>
                <w:rFonts w:ascii="Arial" w:hAnsi="Arial" w:cs="Arial"/>
                <w:sz w:val="20"/>
                <w:szCs w:val="20"/>
              </w:rPr>
            </w:pPr>
            <w:r w:rsidRPr="00F86A4E">
              <w:rPr>
                <w:rFonts w:ascii="Arial" w:hAnsi="Arial" w:cs="Arial"/>
                <w:sz w:val="20"/>
                <w:szCs w:val="20"/>
                <w:lang w:val="en-US"/>
              </w:rPr>
              <w:t>4-5 Burrell street, London, SE1 0UN</w:t>
            </w:r>
          </w:p>
        </w:tc>
      </w:tr>
      <w:tr w:rsidR="00CE4F05" w:rsidRPr="00CE4F05" w14:paraId="6FB52A26" w14:textId="77777777" w:rsidTr="00456EB9">
        <w:tc>
          <w:tcPr>
            <w:tcW w:w="1554" w:type="dxa"/>
            <w:tcBorders>
              <w:left w:val="single" w:sz="12" w:space="0" w:color="auto"/>
              <w:bottom w:val="single" w:sz="8" w:space="0" w:color="auto"/>
            </w:tcBorders>
            <w:vAlign w:val="center"/>
          </w:tcPr>
          <w:p w14:paraId="723595C9" w14:textId="77777777" w:rsidR="00CE4F05" w:rsidRPr="00F86A4E" w:rsidRDefault="00CE4F05" w:rsidP="00F86A4E">
            <w:pPr>
              <w:spacing w:after="0" w:line="240" w:lineRule="auto"/>
              <w:rPr>
                <w:rFonts w:ascii="Arial" w:hAnsi="Arial" w:cs="Arial"/>
                <w:b/>
                <w:sz w:val="20"/>
                <w:szCs w:val="20"/>
              </w:rPr>
            </w:pPr>
            <w:r w:rsidRPr="00F86A4E">
              <w:rPr>
                <w:rFonts w:ascii="Arial" w:hAnsi="Arial" w:cs="Arial"/>
                <w:b/>
                <w:sz w:val="20"/>
                <w:szCs w:val="20"/>
              </w:rPr>
              <w:t xml:space="preserve">How to access PrEP </w:t>
            </w:r>
          </w:p>
        </w:tc>
        <w:tc>
          <w:tcPr>
            <w:tcW w:w="8882" w:type="dxa"/>
            <w:gridSpan w:val="3"/>
            <w:tcBorders>
              <w:bottom w:val="single" w:sz="8" w:space="0" w:color="auto"/>
              <w:right w:val="single" w:sz="12" w:space="0" w:color="auto"/>
            </w:tcBorders>
            <w:vAlign w:val="center"/>
          </w:tcPr>
          <w:p w14:paraId="0B1E1AC2" w14:textId="77777777" w:rsidR="00CE4F05" w:rsidRPr="00F86A4E" w:rsidRDefault="00CE4F05" w:rsidP="00F86A4E">
            <w:pPr>
              <w:pStyle w:val="NoSpacing"/>
              <w:rPr>
                <w:rFonts w:ascii="Arial" w:hAnsi="Arial" w:cs="Arial"/>
                <w:color w:val="212B32"/>
                <w:sz w:val="20"/>
                <w:szCs w:val="20"/>
              </w:rPr>
            </w:pPr>
            <w:r w:rsidRPr="00F86A4E">
              <w:rPr>
                <w:rFonts w:ascii="Arial" w:hAnsi="Arial" w:cs="Arial"/>
                <w:sz w:val="20"/>
                <w:szCs w:val="20"/>
              </w:rPr>
              <w:t xml:space="preserve">Book online: </w:t>
            </w:r>
            <w:hyperlink r:id="rId23" w:tgtFrame="_blank" w:history="1">
              <w:r w:rsidRPr="00F86A4E">
                <w:rPr>
                  <w:rStyle w:val="Hyperlink"/>
                  <w:rFonts w:ascii="Arial" w:hAnsi="Arial" w:cs="Arial"/>
                  <w:sz w:val="20"/>
                  <w:szCs w:val="20"/>
                </w:rPr>
                <w:t>book a PrEP appointment online using MyChart</w:t>
              </w:r>
            </w:hyperlink>
            <w:r w:rsidRPr="00F86A4E">
              <w:rPr>
                <w:rFonts w:ascii="Arial" w:hAnsi="Arial" w:cs="Arial"/>
                <w:color w:val="212B32"/>
                <w:sz w:val="20"/>
                <w:szCs w:val="20"/>
              </w:rPr>
              <w:t xml:space="preserve"> or walk in. </w:t>
            </w:r>
          </w:p>
          <w:p w14:paraId="5051DDC2" w14:textId="7669CE8D" w:rsidR="00CE4F05" w:rsidRPr="00F86A4E" w:rsidRDefault="00CE4F05" w:rsidP="00F86A4E">
            <w:pPr>
              <w:pStyle w:val="NoSpacing"/>
              <w:rPr>
                <w:rFonts w:ascii="Arial" w:hAnsi="Arial" w:cs="Arial"/>
                <w:color w:val="0563C1" w:themeColor="hyperlink"/>
                <w:sz w:val="20"/>
                <w:szCs w:val="20"/>
                <w:u w:val="single"/>
              </w:rPr>
            </w:pPr>
            <w:r w:rsidRPr="00F86A4E">
              <w:rPr>
                <w:rFonts w:ascii="Arial" w:hAnsi="Arial" w:cs="Arial"/>
                <w:color w:val="212B32"/>
                <w:sz w:val="20"/>
                <w:szCs w:val="20"/>
              </w:rPr>
              <w:t xml:space="preserve">Most appointments are available to book more than 48 hours in advance. In addition, on most weekdays and weekends, there will be some additional appointments released at 8:30am for later that same day as a walk in. </w:t>
            </w:r>
          </w:p>
        </w:tc>
      </w:tr>
      <w:tr w:rsidR="00CE4F05" w:rsidRPr="00CE4F05" w14:paraId="03C1B6A5" w14:textId="77777777" w:rsidTr="00456EB9">
        <w:trPr>
          <w:trHeight w:val="338"/>
        </w:trPr>
        <w:tc>
          <w:tcPr>
            <w:tcW w:w="1554" w:type="dxa"/>
            <w:tcBorders>
              <w:top w:val="single" w:sz="8" w:space="0" w:color="auto"/>
              <w:left w:val="single" w:sz="12" w:space="0" w:color="auto"/>
            </w:tcBorders>
            <w:vAlign w:val="center"/>
          </w:tcPr>
          <w:p w14:paraId="091B379B" w14:textId="156687D0" w:rsidR="00CE4F05" w:rsidRPr="00F86A4E" w:rsidRDefault="00CE4F05" w:rsidP="00F86A4E">
            <w:pPr>
              <w:spacing w:after="0" w:line="240" w:lineRule="auto"/>
              <w:rPr>
                <w:rFonts w:ascii="Arial" w:hAnsi="Arial" w:cs="Arial"/>
                <w:sz w:val="20"/>
                <w:szCs w:val="20"/>
              </w:rPr>
            </w:pPr>
            <w:r w:rsidRPr="00F86A4E">
              <w:rPr>
                <w:rFonts w:ascii="Arial" w:hAnsi="Arial" w:cs="Arial"/>
                <w:b/>
                <w:sz w:val="20"/>
                <w:szCs w:val="20"/>
              </w:rPr>
              <w:t>Clinic name</w:t>
            </w:r>
          </w:p>
        </w:tc>
        <w:tc>
          <w:tcPr>
            <w:tcW w:w="2829" w:type="dxa"/>
            <w:tcBorders>
              <w:top w:val="single" w:sz="8" w:space="0" w:color="auto"/>
            </w:tcBorders>
            <w:vAlign w:val="center"/>
          </w:tcPr>
          <w:p w14:paraId="7430D9B9" w14:textId="3E475F56" w:rsidR="00CE4F05" w:rsidRPr="00F86A4E" w:rsidRDefault="00CE4F05" w:rsidP="00F86A4E">
            <w:pPr>
              <w:spacing w:after="0" w:line="240" w:lineRule="auto"/>
              <w:rPr>
                <w:rFonts w:ascii="Arial" w:hAnsi="Arial" w:cs="Arial"/>
                <w:sz w:val="20"/>
                <w:szCs w:val="20"/>
              </w:rPr>
            </w:pPr>
            <w:r w:rsidRPr="00F86A4E">
              <w:rPr>
                <w:rFonts w:ascii="Arial" w:hAnsi="Arial" w:cs="Arial"/>
                <w:sz w:val="20"/>
                <w:szCs w:val="20"/>
                <w:lang w:val="en-US"/>
              </w:rPr>
              <w:t xml:space="preserve">Walworth Road   </w:t>
            </w:r>
          </w:p>
        </w:tc>
        <w:tc>
          <w:tcPr>
            <w:tcW w:w="1416" w:type="dxa"/>
            <w:tcBorders>
              <w:top w:val="single" w:sz="8" w:space="0" w:color="auto"/>
            </w:tcBorders>
            <w:vAlign w:val="center"/>
          </w:tcPr>
          <w:p w14:paraId="111D72B0" w14:textId="361529DD" w:rsidR="00CE4F05" w:rsidRPr="00F86A4E" w:rsidRDefault="00CE4F05" w:rsidP="00D203BE">
            <w:pPr>
              <w:spacing w:after="0" w:line="240" w:lineRule="auto"/>
              <w:rPr>
                <w:rFonts w:ascii="Arial" w:hAnsi="Arial" w:cs="Arial"/>
                <w:sz w:val="20"/>
                <w:szCs w:val="20"/>
              </w:rPr>
            </w:pPr>
            <w:r w:rsidRPr="00F86A4E">
              <w:rPr>
                <w:rFonts w:ascii="Arial" w:hAnsi="Arial" w:cs="Arial"/>
                <w:b/>
                <w:sz w:val="20"/>
                <w:szCs w:val="20"/>
              </w:rPr>
              <w:t xml:space="preserve">Location </w:t>
            </w:r>
          </w:p>
        </w:tc>
        <w:tc>
          <w:tcPr>
            <w:tcW w:w="4637" w:type="dxa"/>
            <w:tcBorders>
              <w:top w:val="single" w:sz="8" w:space="0" w:color="auto"/>
              <w:right w:val="single" w:sz="12" w:space="0" w:color="auto"/>
            </w:tcBorders>
            <w:vAlign w:val="center"/>
          </w:tcPr>
          <w:p w14:paraId="31C593BE" w14:textId="349BA2D1" w:rsidR="00CE4F05" w:rsidRPr="00F86A4E" w:rsidRDefault="00D203BE" w:rsidP="00CE4F05">
            <w:pPr>
              <w:spacing w:after="0" w:line="240" w:lineRule="auto"/>
              <w:rPr>
                <w:rFonts w:ascii="Arial" w:hAnsi="Arial" w:cs="Arial"/>
                <w:sz w:val="20"/>
                <w:szCs w:val="20"/>
              </w:rPr>
            </w:pPr>
            <w:r w:rsidRPr="00F86A4E">
              <w:rPr>
                <w:rFonts w:ascii="Arial" w:hAnsi="Arial" w:cs="Arial"/>
                <w:sz w:val="20"/>
                <w:szCs w:val="20"/>
              </w:rPr>
              <w:t>159-167, Walworth Rd, London SE17 1RY</w:t>
            </w:r>
          </w:p>
        </w:tc>
      </w:tr>
      <w:tr w:rsidR="00CE4F05" w:rsidRPr="00CE4F05" w14:paraId="1B67D504" w14:textId="77777777" w:rsidTr="00456EB9">
        <w:tc>
          <w:tcPr>
            <w:tcW w:w="1554" w:type="dxa"/>
            <w:tcBorders>
              <w:left w:val="single" w:sz="12" w:space="0" w:color="auto"/>
              <w:bottom w:val="single" w:sz="8" w:space="0" w:color="auto"/>
            </w:tcBorders>
            <w:vAlign w:val="center"/>
          </w:tcPr>
          <w:p w14:paraId="643C15A0" w14:textId="7B4E7C98" w:rsidR="00CE4F05" w:rsidRPr="00F86A4E" w:rsidRDefault="00CE4F05" w:rsidP="00F86A4E">
            <w:pPr>
              <w:spacing w:after="0" w:line="240" w:lineRule="auto"/>
              <w:rPr>
                <w:rFonts w:ascii="Arial" w:hAnsi="Arial" w:cs="Arial"/>
                <w:sz w:val="20"/>
                <w:szCs w:val="20"/>
              </w:rPr>
            </w:pPr>
            <w:r w:rsidRPr="00F86A4E">
              <w:rPr>
                <w:rFonts w:ascii="Arial" w:hAnsi="Arial" w:cs="Arial"/>
                <w:b/>
                <w:sz w:val="20"/>
                <w:szCs w:val="20"/>
              </w:rPr>
              <w:t xml:space="preserve">How to access PrEP </w:t>
            </w:r>
          </w:p>
        </w:tc>
        <w:tc>
          <w:tcPr>
            <w:tcW w:w="8882" w:type="dxa"/>
            <w:gridSpan w:val="3"/>
            <w:tcBorders>
              <w:bottom w:val="single" w:sz="8" w:space="0" w:color="auto"/>
              <w:right w:val="single" w:sz="12" w:space="0" w:color="auto"/>
            </w:tcBorders>
            <w:vAlign w:val="center"/>
          </w:tcPr>
          <w:p w14:paraId="08ED872F" w14:textId="6CC11462" w:rsidR="00CE4F05" w:rsidRPr="00D14885" w:rsidRDefault="00CE4F05" w:rsidP="00F86A4E">
            <w:pPr>
              <w:spacing w:after="0" w:line="240" w:lineRule="auto"/>
              <w:rPr>
                <w:rFonts w:ascii="Arial" w:hAnsi="Arial" w:cs="Arial"/>
                <w:color w:val="212B32"/>
                <w:sz w:val="20"/>
                <w:szCs w:val="20"/>
              </w:rPr>
            </w:pPr>
            <w:r w:rsidRPr="00F86A4E">
              <w:rPr>
                <w:rFonts w:ascii="Arial" w:hAnsi="Arial" w:cs="Arial"/>
                <w:color w:val="212B32"/>
                <w:sz w:val="20"/>
                <w:szCs w:val="20"/>
              </w:rPr>
              <w:t xml:space="preserve">Walk in ONLY. </w:t>
            </w:r>
          </w:p>
        </w:tc>
      </w:tr>
      <w:tr w:rsidR="00CE4F05" w:rsidRPr="00CE4F05" w14:paraId="4BCD2B92" w14:textId="77777777" w:rsidTr="00456EB9">
        <w:tc>
          <w:tcPr>
            <w:tcW w:w="1554" w:type="dxa"/>
            <w:tcBorders>
              <w:top w:val="single" w:sz="8" w:space="0" w:color="auto"/>
              <w:left w:val="single" w:sz="12" w:space="0" w:color="auto"/>
            </w:tcBorders>
            <w:vAlign w:val="center"/>
          </w:tcPr>
          <w:p w14:paraId="60F5E901" w14:textId="31125A2F" w:rsidR="00CE4F05" w:rsidRPr="00F86A4E" w:rsidRDefault="00CE4F05" w:rsidP="00F86A4E">
            <w:pPr>
              <w:spacing w:after="0" w:line="240" w:lineRule="auto"/>
              <w:rPr>
                <w:rFonts w:ascii="Arial" w:hAnsi="Arial" w:cs="Arial"/>
                <w:sz w:val="20"/>
                <w:szCs w:val="20"/>
              </w:rPr>
            </w:pPr>
            <w:r w:rsidRPr="00F86A4E">
              <w:rPr>
                <w:rFonts w:ascii="Arial" w:hAnsi="Arial" w:cs="Arial"/>
                <w:b/>
                <w:sz w:val="20"/>
                <w:szCs w:val="20"/>
              </w:rPr>
              <w:t>Clinic name</w:t>
            </w:r>
          </w:p>
        </w:tc>
        <w:tc>
          <w:tcPr>
            <w:tcW w:w="2829" w:type="dxa"/>
            <w:tcBorders>
              <w:top w:val="single" w:sz="8" w:space="0" w:color="auto"/>
            </w:tcBorders>
            <w:vAlign w:val="center"/>
          </w:tcPr>
          <w:p w14:paraId="54F8BF0D" w14:textId="2FEBEE3A" w:rsidR="00CE4F05" w:rsidRPr="00F86A4E" w:rsidRDefault="00CE4F05" w:rsidP="00F86A4E">
            <w:pPr>
              <w:spacing w:after="0" w:line="240" w:lineRule="auto"/>
              <w:rPr>
                <w:rFonts w:ascii="Arial" w:hAnsi="Arial" w:cs="Arial"/>
                <w:sz w:val="20"/>
                <w:szCs w:val="20"/>
              </w:rPr>
            </w:pPr>
            <w:r w:rsidRPr="00F86A4E">
              <w:rPr>
                <w:rFonts w:ascii="Arial" w:hAnsi="Arial" w:cs="Arial"/>
                <w:sz w:val="20"/>
                <w:szCs w:val="20"/>
              </w:rPr>
              <w:t xml:space="preserve">Minnie Kidd House </w:t>
            </w:r>
          </w:p>
        </w:tc>
        <w:tc>
          <w:tcPr>
            <w:tcW w:w="1416" w:type="dxa"/>
            <w:tcBorders>
              <w:top w:val="single" w:sz="8" w:space="0" w:color="auto"/>
            </w:tcBorders>
            <w:vAlign w:val="center"/>
          </w:tcPr>
          <w:p w14:paraId="65C640F1" w14:textId="479DF331" w:rsidR="00CE4F05" w:rsidRPr="00F86A4E" w:rsidRDefault="00CE4F05" w:rsidP="00D203BE">
            <w:pPr>
              <w:spacing w:after="0" w:line="240" w:lineRule="auto"/>
              <w:rPr>
                <w:rFonts w:ascii="Arial" w:hAnsi="Arial" w:cs="Arial"/>
                <w:b/>
                <w:sz w:val="20"/>
                <w:szCs w:val="20"/>
              </w:rPr>
            </w:pPr>
            <w:r w:rsidRPr="00F86A4E">
              <w:rPr>
                <w:rFonts w:ascii="Arial" w:hAnsi="Arial" w:cs="Arial"/>
                <w:b/>
                <w:sz w:val="20"/>
                <w:szCs w:val="20"/>
              </w:rPr>
              <w:t xml:space="preserve">Location </w:t>
            </w:r>
          </w:p>
        </w:tc>
        <w:tc>
          <w:tcPr>
            <w:tcW w:w="4637" w:type="dxa"/>
            <w:tcBorders>
              <w:top w:val="single" w:sz="8" w:space="0" w:color="auto"/>
              <w:right w:val="single" w:sz="12" w:space="0" w:color="auto"/>
            </w:tcBorders>
          </w:tcPr>
          <w:p w14:paraId="01B65AFC" w14:textId="2F2F1DA3" w:rsidR="00CE4F05" w:rsidRPr="00F86A4E" w:rsidRDefault="00D203BE" w:rsidP="00CE4F05">
            <w:pPr>
              <w:spacing w:after="0" w:line="240" w:lineRule="auto"/>
              <w:rPr>
                <w:rFonts w:ascii="Arial" w:hAnsi="Arial" w:cs="Arial"/>
                <w:sz w:val="20"/>
                <w:szCs w:val="20"/>
              </w:rPr>
            </w:pPr>
            <w:r w:rsidRPr="00F86A4E">
              <w:rPr>
                <w:rFonts w:ascii="Arial" w:hAnsi="Arial" w:cs="Arial"/>
                <w:sz w:val="20"/>
                <w:szCs w:val="20"/>
              </w:rPr>
              <w:t>51C Hazelbourne Road, Clapham South, London SW12 9NU</w:t>
            </w:r>
          </w:p>
        </w:tc>
      </w:tr>
      <w:tr w:rsidR="00D203BE" w:rsidRPr="00CE4F05" w14:paraId="2666742A" w14:textId="77777777" w:rsidTr="00F86A4E">
        <w:tc>
          <w:tcPr>
            <w:tcW w:w="1554" w:type="dxa"/>
            <w:tcBorders>
              <w:left w:val="single" w:sz="12" w:space="0" w:color="auto"/>
              <w:bottom w:val="single" w:sz="4" w:space="0" w:color="A5A5A5" w:themeColor="accent3"/>
            </w:tcBorders>
            <w:vAlign w:val="center"/>
          </w:tcPr>
          <w:p w14:paraId="2E9868A1" w14:textId="281A8575" w:rsidR="00D203BE" w:rsidRPr="00F86A4E" w:rsidRDefault="00D203BE" w:rsidP="00F86A4E">
            <w:pPr>
              <w:spacing w:after="0" w:line="240" w:lineRule="auto"/>
              <w:rPr>
                <w:rFonts w:ascii="Arial" w:hAnsi="Arial" w:cs="Arial"/>
                <w:sz w:val="20"/>
                <w:szCs w:val="20"/>
              </w:rPr>
            </w:pPr>
            <w:r w:rsidRPr="00F86A4E">
              <w:rPr>
                <w:rFonts w:ascii="Arial" w:hAnsi="Arial" w:cs="Arial"/>
                <w:b/>
                <w:sz w:val="20"/>
                <w:szCs w:val="20"/>
              </w:rPr>
              <w:t xml:space="preserve">How to access PrEP </w:t>
            </w:r>
          </w:p>
        </w:tc>
        <w:tc>
          <w:tcPr>
            <w:tcW w:w="8882" w:type="dxa"/>
            <w:gridSpan w:val="3"/>
            <w:tcBorders>
              <w:right w:val="single" w:sz="12" w:space="0" w:color="auto"/>
            </w:tcBorders>
            <w:vAlign w:val="center"/>
          </w:tcPr>
          <w:p w14:paraId="07FD95BF" w14:textId="052409EA" w:rsidR="00D203BE" w:rsidRPr="00D14885" w:rsidRDefault="00D203BE" w:rsidP="00F86A4E">
            <w:pPr>
              <w:spacing w:after="0" w:line="240" w:lineRule="auto"/>
              <w:rPr>
                <w:rFonts w:ascii="Arial" w:hAnsi="Arial" w:cs="Arial"/>
                <w:color w:val="212B32"/>
                <w:sz w:val="20"/>
                <w:szCs w:val="20"/>
              </w:rPr>
            </w:pPr>
            <w:r w:rsidRPr="00F86A4E">
              <w:rPr>
                <w:rFonts w:ascii="Arial" w:hAnsi="Arial" w:cs="Arial"/>
                <w:color w:val="212B32"/>
                <w:sz w:val="20"/>
                <w:szCs w:val="20"/>
              </w:rPr>
              <w:t xml:space="preserve">Walk in ONLY. </w:t>
            </w:r>
          </w:p>
        </w:tc>
      </w:tr>
      <w:tr w:rsidR="005C1399" w:rsidRPr="00CE4F05" w14:paraId="7E6C48D3" w14:textId="77777777" w:rsidTr="00D14885">
        <w:trPr>
          <w:trHeight w:val="434"/>
        </w:trPr>
        <w:tc>
          <w:tcPr>
            <w:tcW w:w="1554" w:type="dxa"/>
            <w:tcBorders>
              <w:top w:val="single" w:sz="4" w:space="0" w:color="A5A5A5" w:themeColor="accent3"/>
              <w:left w:val="single" w:sz="12" w:space="0" w:color="auto"/>
              <w:bottom w:val="single" w:sz="4" w:space="0" w:color="auto"/>
            </w:tcBorders>
            <w:vAlign w:val="center"/>
          </w:tcPr>
          <w:p w14:paraId="09C51873" w14:textId="27771642" w:rsidR="005C1399" w:rsidRPr="00F86A4E" w:rsidRDefault="005C1399" w:rsidP="00F86A4E">
            <w:pPr>
              <w:spacing w:after="0" w:line="240" w:lineRule="auto"/>
              <w:rPr>
                <w:rFonts w:ascii="Arial" w:hAnsi="Arial" w:cs="Arial"/>
                <w:b/>
                <w:sz w:val="20"/>
                <w:szCs w:val="20"/>
              </w:rPr>
            </w:pPr>
            <w:r w:rsidRPr="00F86A4E">
              <w:rPr>
                <w:rFonts w:ascii="Arial" w:hAnsi="Arial" w:cs="Arial"/>
                <w:b/>
                <w:sz w:val="20"/>
                <w:szCs w:val="20"/>
              </w:rPr>
              <w:t>Website</w:t>
            </w:r>
          </w:p>
        </w:tc>
        <w:tc>
          <w:tcPr>
            <w:tcW w:w="8882" w:type="dxa"/>
            <w:gridSpan w:val="3"/>
            <w:tcBorders>
              <w:right w:val="single" w:sz="12" w:space="0" w:color="auto"/>
            </w:tcBorders>
            <w:vAlign w:val="center"/>
          </w:tcPr>
          <w:p w14:paraId="6947B15E" w14:textId="5B6A8BB9" w:rsidR="005C1399" w:rsidRPr="00F86A4E" w:rsidRDefault="00000000" w:rsidP="00F86A4E">
            <w:pPr>
              <w:spacing w:after="0" w:line="240" w:lineRule="auto"/>
              <w:rPr>
                <w:rFonts w:ascii="Arial" w:hAnsi="Arial" w:cs="Arial"/>
                <w:color w:val="212B32"/>
                <w:sz w:val="20"/>
                <w:szCs w:val="20"/>
              </w:rPr>
            </w:pPr>
            <w:hyperlink r:id="rId24" w:history="1">
              <w:r w:rsidR="005C1399" w:rsidRPr="00F86A4E">
                <w:rPr>
                  <w:rStyle w:val="Hyperlink"/>
                  <w:rFonts w:ascii="Arial" w:hAnsi="Arial" w:cs="Arial"/>
                  <w:sz w:val="20"/>
                  <w:szCs w:val="20"/>
                  <w:lang w:val="en-US"/>
                </w:rPr>
                <w:t>https://www.guysandstthomas.nhs.uk/our-services/sexual-health/clinics</w:t>
              </w:r>
            </w:hyperlink>
            <w:r w:rsidR="005C1399" w:rsidRPr="00F86A4E">
              <w:rPr>
                <w:rFonts w:ascii="Arial" w:hAnsi="Arial" w:cs="Arial"/>
                <w:sz w:val="20"/>
                <w:szCs w:val="20"/>
                <w:lang w:val="en-US"/>
              </w:rPr>
              <w:t xml:space="preserve">  </w:t>
            </w:r>
          </w:p>
        </w:tc>
      </w:tr>
      <w:tr w:rsidR="00D203BE" w:rsidRPr="00CE4F05" w14:paraId="6E36F1E4" w14:textId="77777777" w:rsidTr="00D203BE">
        <w:trPr>
          <w:trHeight w:val="336"/>
        </w:trPr>
        <w:tc>
          <w:tcPr>
            <w:tcW w:w="10436"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F118562" w14:textId="4A6AE5FA" w:rsidR="00D203BE" w:rsidRPr="00D203BE" w:rsidRDefault="00D203BE" w:rsidP="00D203BE">
            <w:pPr>
              <w:spacing w:after="0" w:line="240" w:lineRule="auto"/>
              <w:rPr>
                <w:rFonts w:ascii="Arial" w:hAnsi="Arial" w:cs="Arial"/>
                <w:sz w:val="24"/>
                <w:szCs w:val="24"/>
              </w:rPr>
            </w:pPr>
            <w:r w:rsidRPr="00D203BE">
              <w:rPr>
                <w:rFonts w:ascii="Arial" w:hAnsi="Arial" w:cs="Arial"/>
                <w:b/>
                <w:sz w:val="24"/>
                <w:szCs w:val="24"/>
              </w:rPr>
              <w:t>Kings College Hospital Sexual Health services</w:t>
            </w:r>
          </w:p>
        </w:tc>
      </w:tr>
      <w:tr w:rsidR="00D203BE" w:rsidRPr="00CE4F05" w14:paraId="1401C395" w14:textId="77777777" w:rsidTr="00F86A4E">
        <w:tc>
          <w:tcPr>
            <w:tcW w:w="1554" w:type="dxa"/>
            <w:tcBorders>
              <w:top w:val="single" w:sz="12" w:space="0" w:color="auto"/>
              <w:left w:val="single" w:sz="12" w:space="0" w:color="auto"/>
            </w:tcBorders>
            <w:vAlign w:val="center"/>
          </w:tcPr>
          <w:p w14:paraId="60B14989" w14:textId="7D3A7B42" w:rsidR="00D203BE" w:rsidRPr="00F86A4E" w:rsidRDefault="00D203BE" w:rsidP="00F86A4E">
            <w:pPr>
              <w:spacing w:after="0" w:line="240" w:lineRule="auto"/>
              <w:rPr>
                <w:rFonts w:ascii="Arial" w:hAnsi="Arial" w:cs="Arial"/>
                <w:sz w:val="20"/>
                <w:szCs w:val="20"/>
              </w:rPr>
            </w:pPr>
            <w:r w:rsidRPr="00F86A4E">
              <w:rPr>
                <w:rFonts w:ascii="Arial" w:hAnsi="Arial" w:cs="Arial"/>
                <w:b/>
                <w:sz w:val="20"/>
                <w:szCs w:val="20"/>
              </w:rPr>
              <w:t>Clinic name</w:t>
            </w:r>
          </w:p>
        </w:tc>
        <w:tc>
          <w:tcPr>
            <w:tcW w:w="2829" w:type="dxa"/>
            <w:tcBorders>
              <w:top w:val="single" w:sz="12" w:space="0" w:color="auto"/>
            </w:tcBorders>
            <w:vAlign w:val="center"/>
          </w:tcPr>
          <w:p w14:paraId="0C5EF500" w14:textId="564F9F21" w:rsidR="00D203BE" w:rsidRPr="00865BE6" w:rsidRDefault="00D203BE" w:rsidP="00F86A4E">
            <w:pPr>
              <w:spacing w:after="0" w:line="240" w:lineRule="auto"/>
              <w:rPr>
                <w:rFonts w:ascii="Arial" w:hAnsi="Arial" w:cs="Arial"/>
                <w:sz w:val="20"/>
                <w:szCs w:val="20"/>
              </w:rPr>
            </w:pPr>
            <w:r w:rsidRPr="00865BE6">
              <w:rPr>
                <w:rFonts w:ascii="Arial" w:hAnsi="Arial" w:cs="Arial"/>
                <w:sz w:val="20"/>
                <w:szCs w:val="20"/>
              </w:rPr>
              <w:t>Camberwell Sexual Health Clinic</w:t>
            </w:r>
          </w:p>
        </w:tc>
        <w:tc>
          <w:tcPr>
            <w:tcW w:w="1416" w:type="dxa"/>
            <w:tcBorders>
              <w:top w:val="single" w:sz="12" w:space="0" w:color="auto"/>
            </w:tcBorders>
            <w:vAlign w:val="center"/>
          </w:tcPr>
          <w:p w14:paraId="31E9A784" w14:textId="1C3839A8" w:rsidR="00D203BE" w:rsidRPr="00865BE6" w:rsidRDefault="00D203BE" w:rsidP="00F86A4E">
            <w:pPr>
              <w:spacing w:after="0" w:line="240" w:lineRule="auto"/>
              <w:rPr>
                <w:rFonts w:ascii="Arial" w:hAnsi="Arial" w:cs="Arial"/>
                <w:sz w:val="20"/>
                <w:szCs w:val="20"/>
              </w:rPr>
            </w:pPr>
            <w:r w:rsidRPr="00865BE6">
              <w:rPr>
                <w:rFonts w:ascii="Arial" w:hAnsi="Arial" w:cs="Arial"/>
                <w:b/>
                <w:sz w:val="20"/>
                <w:szCs w:val="20"/>
              </w:rPr>
              <w:t>Location</w:t>
            </w:r>
          </w:p>
        </w:tc>
        <w:tc>
          <w:tcPr>
            <w:tcW w:w="4637" w:type="dxa"/>
            <w:tcBorders>
              <w:top w:val="single" w:sz="12" w:space="0" w:color="auto"/>
              <w:right w:val="single" w:sz="12" w:space="0" w:color="auto"/>
            </w:tcBorders>
            <w:vAlign w:val="center"/>
          </w:tcPr>
          <w:p w14:paraId="7C96D1FE" w14:textId="77777777" w:rsidR="00D203BE" w:rsidRPr="00F86A4E" w:rsidRDefault="00D203BE" w:rsidP="00F86A4E">
            <w:pPr>
              <w:spacing w:after="0" w:line="240" w:lineRule="auto"/>
              <w:rPr>
                <w:rFonts w:ascii="Arial" w:hAnsi="Arial" w:cs="Arial"/>
                <w:sz w:val="20"/>
                <w:szCs w:val="20"/>
              </w:rPr>
            </w:pPr>
            <w:r w:rsidRPr="00F86A4E">
              <w:rPr>
                <w:rFonts w:ascii="Arial" w:hAnsi="Arial" w:cs="Arial"/>
                <w:sz w:val="20"/>
                <w:szCs w:val="20"/>
              </w:rPr>
              <w:t>94-104 Denmark Hill, Camberwell</w:t>
            </w:r>
          </w:p>
          <w:p w14:paraId="6BCC345D" w14:textId="4102FFB9" w:rsidR="00D203BE" w:rsidRPr="00F86A4E" w:rsidRDefault="00D203BE" w:rsidP="00F86A4E">
            <w:pPr>
              <w:spacing w:after="0" w:line="240" w:lineRule="auto"/>
              <w:rPr>
                <w:rFonts w:ascii="Arial" w:hAnsi="Arial" w:cs="Arial"/>
                <w:sz w:val="20"/>
                <w:szCs w:val="20"/>
              </w:rPr>
            </w:pPr>
            <w:r w:rsidRPr="00F86A4E">
              <w:rPr>
                <w:rFonts w:ascii="Arial" w:hAnsi="Arial" w:cs="Arial"/>
                <w:sz w:val="20"/>
                <w:szCs w:val="20"/>
              </w:rPr>
              <w:t>London, SE5 8RX</w:t>
            </w:r>
          </w:p>
        </w:tc>
      </w:tr>
      <w:tr w:rsidR="00D203BE" w:rsidRPr="00CE4F05" w14:paraId="4A782319" w14:textId="77777777" w:rsidTr="00F86A4E">
        <w:tc>
          <w:tcPr>
            <w:tcW w:w="1554" w:type="dxa"/>
            <w:tcBorders>
              <w:left w:val="single" w:sz="12" w:space="0" w:color="auto"/>
            </w:tcBorders>
            <w:vAlign w:val="center"/>
          </w:tcPr>
          <w:p w14:paraId="1E35C5B8" w14:textId="4797A05E" w:rsidR="00D203BE" w:rsidRPr="00F86A4E" w:rsidRDefault="00D203BE" w:rsidP="00F86A4E">
            <w:pPr>
              <w:spacing w:after="0" w:line="240" w:lineRule="auto"/>
              <w:rPr>
                <w:rFonts w:ascii="Arial" w:hAnsi="Arial" w:cs="Arial"/>
                <w:sz w:val="20"/>
                <w:szCs w:val="20"/>
              </w:rPr>
            </w:pPr>
            <w:r w:rsidRPr="00F86A4E">
              <w:rPr>
                <w:rFonts w:ascii="Arial" w:hAnsi="Arial" w:cs="Arial"/>
                <w:b/>
                <w:sz w:val="20"/>
                <w:szCs w:val="20"/>
              </w:rPr>
              <w:t xml:space="preserve">How to access PrEP </w:t>
            </w:r>
          </w:p>
        </w:tc>
        <w:tc>
          <w:tcPr>
            <w:tcW w:w="8882" w:type="dxa"/>
            <w:gridSpan w:val="3"/>
            <w:tcBorders>
              <w:right w:val="single" w:sz="12" w:space="0" w:color="auto"/>
            </w:tcBorders>
            <w:vAlign w:val="center"/>
          </w:tcPr>
          <w:p w14:paraId="0C8AF8D1" w14:textId="14D52AC2" w:rsidR="00D203BE" w:rsidRPr="00865BE6" w:rsidRDefault="00865BE6" w:rsidP="00F86A4E">
            <w:pPr>
              <w:spacing w:after="0" w:line="240" w:lineRule="auto"/>
              <w:rPr>
                <w:rFonts w:ascii="Arial" w:hAnsi="Arial" w:cs="Arial"/>
                <w:color w:val="212B32"/>
                <w:sz w:val="20"/>
                <w:szCs w:val="20"/>
              </w:rPr>
            </w:pPr>
            <w:r w:rsidRPr="00F86A4E">
              <w:rPr>
                <w:rFonts w:ascii="Arial" w:hAnsi="Arial" w:cs="Arial"/>
                <w:color w:val="212B32"/>
                <w:sz w:val="20"/>
                <w:szCs w:val="20"/>
              </w:rPr>
              <w:t xml:space="preserve">Walk in ONLY. </w:t>
            </w:r>
          </w:p>
        </w:tc>
      </w:tr>
      <w:tr w:rsidR="0023726D" w:rsidRPr="00CE4F05" w14:paraId="3F63B8CA" w14:textId="77777777" w:rsidTr="00456EB9">
        <w:trPr>
          <w:trHeight w:val="374"/>
        </w:trPr>
        <w:tc>
          <w:tcPr>
            <w:tcW w:w="1554" w:type="dxa"/>
            <w:tcBorders>
              <w:left w:val="single" w:sz="12" w:space="0" w:color="auto"/>
              <w:bottom w:val="single" w:sz="8" w:space="0" w:color="auto"/>
            </w:tcBorders>
            <w:vAlign w:val="center"/>
          </w:tcPr>
          <w:p w14:paraId="3D6B49B3" w14:textId="6E0A422E" w:rsidR="0023726D" w:rsidRPr="00F86A4E" w:rsidRDefault="0023726D" w:rsidP="00F86A4E">
            <w:pPr>
              <w:spacing w:after="0" w:line="240" w:lineRule="auto"/>
              <w:rPr>
                <w:rFonts w:ascii="Arial" w:hAnsi="Arial" w:cs="Arial"/>
                <w:b/>
                <w:sz w:val="20"/>
                <w:szCs w:val="20"/>
              </w:rPr>
            </w:pPr>
            <w:r w:rsidRPr="00F86A4E">
              <w:rPr>
                <w:rFonts w:ascii="Arial" w:hAnsi="Arial" w:cs="Arial"/>
                <w:b/>
                <w:sz w:val="20"/>
                <w:szCs w:val="20"/>
              </w:rPr>
              <w:t>Website</w:t>
            </w:r>
          </w:p>
        </w:tc>
        <w:tc>
          <w:tcPr>
            <w:tcW w:w="8882" w:type="dxa"/>
            <w:gridSpan w:val="3"/>
            <w:tcBorders>
              <w:bottom w:val="single" w:sz="8" w:space="0" w:color="auto"/>
              <w:right w:val="single" w:sz="12" w:space="0" w:color="auto"/>
            </w:tcBorders>
            <w:vAlign w:val="center"/>
          </w:tcPr>
          <w:p w14:paraId="57F7256D" w14:textId="1A99C19E" w:rsidR="0023726D" w:rsidRPr="00865BE6" w:rsidRDefault="00000000" w:rsidP="00F86A4E">
            <w:pPr>
              <w:spacing w:after="0" w:line="240" w:lineRule="auto"/>
              <w:rPr>
                <w:rFonts w:ascii="Arial" w:hAnsi="Arial" w:cs="Arial"/>
                <w:sz w:val="20"/>
                <w:szCs w:val="20"/>
              </w:rPr>
            </w:pPr>
            <w:hyperlink r:id="rId25" w:history="1">
              <w:r w:rsidR="0023726D" w:rsidRPr="00865BE6">
                <w:rPr>
                  <w:rStyle w:val="Hyperlink"/>
                  <w:rFonts w:ascii="Arial" w:hAnsi="Arial" w:cs="Arial"/>
                  <w:sz w:val="20"/>
                  <w:szCs w:val="20"/>
                  <w:lang w:val="en-US"/>
                </w:rPr>
                <w:t>https://www.kch.nhs.uk/services/services-a-to-z/camberwell-sexual-health-centre/</w:t>
              </w:r>
            </w:hyperlink>
            <w:r w:rsidR="0023726D" w:rsidRPr="00865BE6">
              <w:rPr>
                <w:rFonts w:ascii="Arial" w:hAnsi="Arial" w:cs="Arial"/>
                <w:sz w:val="20"/>
                <w:szCs w:val="20"/>
                <w:lang w:val="en-US"/>
              </w:rPr>
              <w:t xml:space="preserve">  </w:t>
            </w:r>
          </w:p>
        </w:tc>
      </w:tr>
      <w:tr w:rsidR="0023726D" w:rsidRPr="00CE4F05" w14:paraId="7DB670F6" w14:textId="77777777" w:rsidTr="00456EB9">
        <w:tc>
          <w:tcPr>
            <w:tcW w:w="1554" w:type="dxa"/>
            <w:tcBorders>
              <w:top w:val="single" w:sz="8" w:space="0" w:color="auto"/>
              <w:left w:val="single" w:sz="12" w:space="0" w:color="auto"/>
            </w:tcBorders>
            <w:vAlign w:val="center"/>
          </w:tcPr>
          <w:p w14:paraId="597E4EB9" w14:textId="376A7B45" w:rsidR="0023726D" w:rsidRPr="00F86A4E" w:rsidRDefault="0023726D" w:rsidP="00F86A4E">
            <w:pPr>
              <w:spacing w:after="0" w:line="240" w:lineRule="auto"/>
              <w:rPr>
                <w:rFonts w:ascii="Arial" w:hAnsi="Arial" w:cs="Arial"/>
                <w:b/>
                <w:sz w:val="20"/>
                <w:szCs w:val="20"/>
              </w:rPr>
            </w:pPr>
            <w:r w:rsidRPr="00F86A4E">
              <w:rPr>
                <w:rFonts w:ascii="Arial" w:hAnsi="Arial" w:cs="Arial"/>
                <w:b/>
                <w:sz w:val="20"/>
                <w:szCs w:val="20"/>
              </w:rPr>
              <w:t>Clinic name</w:t>
            </w:r>
          </w:p>
        </w:tc>
        <w:tc>
          <w:tcPr>
            <w:tcW w:w="2829" w:type="dxa"/>
            <w:tcBorders>
              <w:top w:val="single" w:sz="8" w:space="0" w:color="auto"/>
            </w:tcBorders>
            <w:vAlign w:val="center"/>
          </w:tcPr>
          <w:p w14:paraId="5D9EF1F6" w14:textId="1B5B44B3" w:rsidR="0023726D" w:rsidRPr="00865BE6" w:rsidRDefault="0023726D" w:rsidP="00F86A4E">
            <w:pPr>
              <w:spacing w:after="0" w:line="240" w:lineRule="auto"/>
              <w:rPr>
                <w:rFonts w:ascii="Arial" w:hAnsi="Arial" w:cs="Arial"/>
                <w:sz w:val="20"/>
                <w:szCs w:val="20"/>
              </w:rPr>
            </w:pPr>
            <w:r w:rsidRPr="00865BE6">
              <w:rPr>
                <w:rFonts w:ascii="Arial" w:hAnsi="Arial" w:cs="Arial"/>
                <w:sz w:val="20"/>
                <w:szCs w:val="20"/>
                <w:lang w:val="en-US"/>
              </w:rPr>
              <w:t>CliniQ clinic</w:t>
            </w:r>
          </w:p>
        </w:tc>
        <w:tc>
          <w:tcPr>
            <w:tcW w:w="1416" w:type="dxa"/>
            <w:tcBorders>
              <w:top w:val="single" w:sz="8" w:space="0" w:color="auto"/>
            </w:tcBorders>
            <w:vAlign w:val="center"/>
          </w:tcPr>
          <w:p w14:paraId="35B553A4" w14:textId="49C97D79" w:rsidR="0023726D" w:rsidRPr="00865BE6" w:rsidRDefault="0023726D" w:rsidP="00F86A4E">
            <w:pPr>
              <w:spacing w:after="0" w:line="240" w:lineRule="auto"/>
              <w:rPr>
                <w:rFonts w:ascii="Arial" w:hAnsi="Arial" w:cs="Arial"/>
                <w:sz w:val="20"/>
                <w:szCs w:val="20"/>
              </w:rPr>
            </w:pPr>
            <w:r w:rsidRPr="00865BE6">
              <w:rPr>
                <w:rFonts w:ascii="Arial" w:hAnsi="Arial" w:cs="Arial"/>
                <w:b/>
                <w:sz w:val="20"/>
                <w:szCs w:val="20"/>
              </w:rPr>
              <w:t>Location</w:t>
            </w:r>
          </w:p>
        </w:tc>
        <w:tc>
          <w:tcPr>
            <w:tcW w:w="4637" w:type="dxa"/>
            <w:tcBorders>
              <w:top w:val="single" w:sz="8" w:space="0" w:color="auto"/>
              <w:right w:val="single" w:sz="12" w:space="0" w:color="auto"/>
            </w:tcBorders>
            <w:vAlign w:val="center"/>
          </w:tcPr>
          <w:p w14:paraId="08569C4A" w14:textId="2A60916D" w:rsidR="0023726D" w:rsidRPr="00F86A4E" w:rsidRDefault="0023726D" w:rsidP="00F86A4E">
            <w:pPr>
              <w:spacing w:after="0" w:line="240" w:lineRule="auto"/>
              <w:rPr>
                <w:rFonts w:ascii="Arial" w:hAnsi="Arial" w:cs="Arial"/>
                <w:sz w:val="20"/>
                <w:szCs w:val="20"/>
              </w:rPr>
            </w:pPr>
            <w:r w:rsidRPr="00F86A4E">
              <w:rPr>
                <w:rFonts w:ascii="Arial" w:hAnsi="Arial" w:cs="Arial"/>
                <w:sz w:val="20"/>
                <w:szCs w:val="20"/>
              </w:rPr>
              <w:t>The Caldecot CentreKings College Hospital, 15 to 22 Caldecot Road, London, SE5 9RS</w:t>
            </w:r>
          </w:p>
        </w:tc>
      </w:tr>
      <w:tr w:rsidR="0023726D" w:rsidRPr="00CE4F05" w14:paraId="048A57CB" w14:textId="77777777" w:rsidTr="00F86A4E">
        <w:tc>
          <w:tcPr>
            <w:tcW w:w="1554" w:type="dxa"/>
            <w:tcBorders>
              <w:left w:val="single" w:sz="12" w:space="0" w:color="auto"/>
              <w:bottom w:val="single" w:sz="4" w:space="0" w:color="A5A5A5" w:themeColor="accent3"/>
            </w:tcBorders>
            <w:vAlign w:val="center"/>
          </w:tcPr>
          <w:p w14:paraId="106BCC03" w14:textId="2BF27D08" w:rsidR="0023726D" w:rsidRPr="00F86A4E" w:rsidRDefault="0023726D" w:rsidP="00F86A4E">
            <w:pPr>
              <w:spacing w:after="0" w:line="240" w:lineRule="auto"/>
              <w:rPr>
                <w:rFonts w:ascii="Arial" w:hAnsi="Arial" w:cs="Arial"/>
                <w:b/>
                <w:sz w:val="20"/>
                <w:szCs w:val="20"/>
              </w:rPr>
            </w:pPr>
            <w:r w:rsidRPr="00F86A4E">
              <w:rPr>
                <w:rFonts w:ascii="Arial" w:hAnsi="Arial" w:cs="Arial"/>
                <w:b/>
                <w:sz w:val="20"/>
                <w:szCs w:val="20"/>
              </w:rPr>
              <w:t>How to access PrEP</w:t>
            </w:r>
          </w:p>
        </w:tc>
        <w:tc>
          <w:tcPr>
            <w:tcW w:w="8882" w:type="dxa"/>
            <w:gridSpan w:val="3"/>
            <w:tcBorders>
              <w:bottom w:val="single" w:sz="4" w:space="0" w:color="A5A5A5" w:themeColor="accent3"/>
              <w:right w:val="single" w:sz="12" w:space="0" w:color="auto"/>
            </w:tcBorders>
            <w:vAlign w:val="center"/>
          </w:tcPr>
          <w:p w14:paraId="2A61C9E0" w14:textId="37F905E6" w:rsidR="0023726D" w:rsidRPr="00865BE6" w:rsidRDefault="00865BE6" w:rsidP="00865BE6">
            <w:pPr>
              <w:spacing w:after="0" w:line="240" w:lineRule="auto"/>
              <w:rPr>
                <w:rFonts w:ascii="Arial" w:hAnsi="Arial" w:cs="Arial"/>
                <w:sz w:val="20"/>
                <w:szCs w:val="20"/>
              </w:rPr>
            </w:pPr>
            <w:r>
              <w:rPr>
                <w:rFonts w:ascii="Arial" w:hAnsi="Arial" w:cs="Arial"/>
                <w:sz w:val="20"/>
                <w:szCs w:val="20"/>
              </w:rPr>
              <w:t xml:space="preserve">CliniQ </w:t>
            </w:r>
            <w:r w:rsidRPr="00865BE6">
              <w:rPr>
                <w:rFonts w:ascii="Arial" w:hAnsi="Arial" w:cs="Arial"/>
                <w:sz w:val="20"/>
                <w:szCs w:val="20"/>
              </w:rPr>
              <w:t xml:space="preserve">is for Trans, </w:t>
            </w:r>
            <w:r w:rsidR="00D14885" w:rsidRPr="00865BE6">
              <w:rPr>
                <w:rFonts w:ascii="Arial" w:hAnsi="Arial" w:cs="Arial"/>
                <w:sz w:val="20"/>
                <w:szCs w:val="20"/>
              </w:rPr>
              <w:t>non-binary</w:t>
            </w:r>
            <w:r w:rsidRPr="00865BE6">
              <w:rPr>
                <w:rFonts w:ascii="Arial" w:hAnsi="Arial" w:cs="Arial"/>
                <w:sz w:val="20"/>
                <w:szCs w:val="20"/>
              </w:rPr>
              <w:t xml:space="preserve"> and gender diverse people and only runs weekly on a Tuesday 4-6.30 pm</w:t>
            </w:r>
            <w:r>
              <w:rPr>
                <w:rFonts w:ascii="Arial" w:hAnsi="Arial" w:cs="Arial"/>
                <w:sz w:val="20"/>
                <w:szCs w:val="20"/>
              </w:rPr>
              <w:t xml:space="preserve">, to book an appointment people can email </w:t>
            </w:r>
            <w:hyperlink r:id="rId26" w:history="1">
              <w:r>
                <w:rPr>
                  <w:rStyle w:val="Hyperlink"/>
                </w:rPr>
                <w:t>admin@cliniq.org.uk</w:t>
              </w:r>
            </w:hyperlink>
          </w:p>
        </w:tc>
      </w:tr>
      <w:tr w:rsidR="0023726D" w:rsidRPr="00CE4F05" w14:paraId="2C6D1C62" w14:textId="77777777" w:rsidTr="00D14885">
        <w:trPr>
          <w:trHeight w:val="292"/>
        </w:trPr>
        <w:tc>
          <w:tcPr>
            <w:tcW w:w="1554" w:type="dxa"/>
            <w:tcBorders>
              <w:top w:val="single" w:sz="4" w:space="0" w:color="A5A5A5" w:themeColor="accent3"/>
              <w:left w:val="single" w:sz="12" w:space="0" w:color="auto"/>
              <w:bottom w:val="single" w:sz="12" w:space="0" w:color="auto"/>
            </w:tcBorders>
            <w:vAlign w:val="center"/>
          </w:tcPr>
          <w:p w14:paraId="7C1D2A59" w14:textId="79F5FFE1" w:rsidR="0023726D" w:rsidRPr="00F86A4E" w:rsidRDefault="0023726D" w:rsidP="00F86A4E">
            <w:pPr>
              <w:spacing w:after="0" w:line="240" w:lineRule="auto"/>
              <w:rPr>
                <w:rFonts w:ascii="Arial" w:hAnsi="Arial" w:cs="Arial"/>
                <w:b/>
                <w:sz w:val="20"/>
                <w:szCs w:val="20"/>
              </w:rPr>
            </w:pPr>
            <w:r w:rsidRPr="00F86A4E">
              <w:rPr>
                <w:rFonts w:ascii="Arial" w:hAnsi="Arial" w:cs="Arial"/>
                <w:b/>
                <w:sz w:val="20"/>
                <w:szCs w:val="20"/>
              </w:rPr>
              <w:t>Website</w:t>
            </w:r>
          </w:p>
        </w:tc>
        <w:tc>
          <w:tcPr>
            <w:tcW w:w="8882" w:type="dxa"/>
            <w:gridSpan w:val="3"/>
            <w:tcBorders>
              <w:top w:val="single" w:sz="4" w:space="0" w:color="A5A5A5" w:themeColor="accent3"/>
              <w:bottom w:val="single" w:sz="12" w:space="0" w:color="auto"/>
              <w:right w:val="single" w:sz="12" w:space="0" w:color="auto"/>
            </w:tcBorders>
            <w:vAlign w:val="center"/>
          </w:tcPr>
          <w:p w14:paraId="05EE923F" w14:textId="1F5F22E6" w:rsidR="0023726D" w:rsidRPr="00865BE6" w:rsidRDefault="00000000" w:rsidP="00F86A4E">
            <w:pPr>
              <w:spacing w:after="0" w:line="240" w:lineRule="auto"/>
              <w:rPr>
                <w:rFonts w:ascii="Arial" w:hAnsi="Arial" w:cs="Arial"/>
                <w:sz w:val="20"/>
                <w:szCs w:val="20"/>
              </w:rPr>
            </w:pPr>
            <w:hyperlink r:id="rId27" w:history="1">
              <w:r w:rsidR="00865BE6" w:rsidRPr="00865BE6">
                <w:rPr>
                  <w:rStyle w:val="Hyperlink"/>
                  <w:rFonts w:ascii="Arial" w:eastAsia="Times New Roman" w:hAnsi="Arial" w:cs="Arial"/>
                  <w:sz w:val="20"/>
                  <w:szCs w:val="20"/>
                </w:rPr>
                <w:t>https://cliniq.org.uk/pep-prep/</w:t>
              </w:r>
            </w:hyperlink>
            <w:r w:rsidR="00865BE6" w:rsidRPr="00865BE6">
              <w:rPr>
                <w:rFonts w:ascii="Arial" w:eastAsia="Times New Roman" w:hAnsi="Arial" w:cs="Arial"/>
                <w:sz w:val="20"/>
                <w:szCs w:val="20"/>
              </w:rPr>
              <w:t xml:space="preserve"> </w:t>
            </w:r>
          </w:p>
        </w:tc>
      </w:tr>
      <w:tr w:rsidR="0023726D" w:rsidRPr="00CE4F05" w14:paraId="42800CDD" w14:textId="77777777" w:rsidTr="00D203BE">
        <w:trPr>
          <w:trHeight w:val="442"/>
        </w:trPr>
        <w:tc>
          <w:tcPr>
            <w:tcW w:w="10436" w:type="dxa"/>
            <w:gridSpan w:val="4"/>
            <w:tcBorders>
              <w:left w:val="single" w:sz="12" w:space="0" w:color="auto"/>
              <w:right w:val="single" w:sz="12" w:space="0" w:color="auto"/>
            </w:tcBorders>
            <w:shd w:val="clear" w:color="auto" w:fill="F2F2F2" w:themeFill="background1" w:themeFillShade="F2"/>
            <w:vAlign w:val="center"/>
          </w:tcPr>
          <w:p w14:paraId="6D6478ED" w14:textId="17C19CA6" w:rsidR="0023726D" w:rsidRPr="00865BE6" w:rsidRDefault="0023726D" w:rsidP="0023726D">
            <w:pPr>
              <w:spacing w:after="0" w:line="240" w:lineRule="auto"/>
              <w:rPr>
                <w:rFonts w:ascii="Arial" w:hAnsi="Arial" w:cs="Arial"/>
                <w:sz w:val="24"/>
                <w:szCs w:val="24"/>
              </w:rPr>
            </w:pPr>
            <w:r w:rsidRPr="00865BE6">
              <w:rPr>
                <w:rFonts w:ascii="Arial" w:hAnsi="Arial" w:cs="Arial"/>
                <w:b/>
                <w:sz w:val="24"/>
                <w:szCs w:val="24"/>
              </w:rPr>
              <w:t>Lewisham</w:t>
            </w:r>
            <w:r w:rsidR="0016598F">
              <w:rPr>
                <w:rFonts w:ascii="Arial" w:hAnsi="Arial" w:cs="Arial"/>
                <w:b/>
                <w:sz w:val="24"/>
                <w:szCs w:val="24"/>
              </w:rPr>
              <w:t xml:space="preserve"> and Greenwich</w:t>
            </w:r>
            <w:r w:rsidRPr="00865BE6">
              <w:rPr>
                <w:rFonts w:ascii="Arial" w:hAnsi="Arial" w:cs="Arial"/>
                <w:b/>
                <w:sz w:val="24"/>
                <w:szCs w:val="24"/>
              </w:rPr>
              <w:t xml:space="preserve"> Sexual Health services</w:t>
            </w:r>
          </w:p>
        </w:tc>
      </w:tr>
      <w:tr w:rsidR="0023726D" w:rsidRPr="00CE4F05" w14:paraId="4C67E4AD" w14:textId="77777777" w:rsidTr="00F86A4E">
        <w:tc>
          <w:tcPr>
            <w:tcW w:w="1554" w:type="dxa"/>
            <w:tcBorders>
              <w:top w:val="single" w:sz="12" w:space="0" w:color="auto"/>
              <w:left w:val="single" w:sz="12" w:space="0" w:color="auto"/>
            </w:tcBorders>
            <w:vAlign w:val="center"/>
          </w:tcPr>
          <w:p w14:paraId="0116E448" w14:textId="4361F98F" w:rsidR="0023726D" w:rsidRPr="00456EB9" w:rsidRDefault="0023726D" w:rsidP="00F86A4E">
            <w:pPr>
              <w:spacing w:after="0" w:line="240" w:lineRule="auto"/>
              <w:rPr>
                <w:rFonts w:ascii="Arial" w:hAnsi="Arial" w:cs="Arial"/>
                <w:b/>
                <w:sz w:val="20"/>
                <w:szCs w:val="20"/>
              </w:rPr>
            </w:pPr>
            <w:r w:rsidRPr="00456EB9">
              <w:rPr>
                <w:rFonts w:ascii="Arial" w:hAnsi="Arial" w:cs="Arial"/>
                <w:b/>
                <w:sz w:val="20"/>
                <w:szCs w:val="20"/>
              </w:rPr>
              <w:t>Clinic name</w:t>
            </w:r>
          </w:p>
        </w:tc>
        <w:tc>
          <w:tcPr>
            <w:tcW w:w="2829" w:type="dxa"/>
            <w:tcBorders>
              <w:top w:val="single" w:sz="12" w:space="0" w:color="auto"/>
            </w:tcBorders>
            <w:vAlign w:val="center"/>
          </w:tcPr>
          <w:p w14:paraId="66405F31" w14:textId="66523A7E" w:rsidR="0023726D" w:rsidRPr="00456EB9" w:rsidRDefault="0023726D" w:rsidP="00F86A4E">
            <w:pPr>
              <w:spacing w:after="0" w:line="240" w:lineRule="auto"/>
              <w:rPr>
                <w:rFonts w:ascii="Arial" w:hAnsi="Arial" w:cs="Arial"/>
                <w:sz w:val="20"/>
                <w:szCs w:val="20"/>
                <w:lang w:val="en-US"/>
              </w:rPr>
            </w:pPr>
            <w:r w:rsidRPr="00456EB9">
              <w:rPr>
                <w:rFonts w:ascii="Arial" w:hAnsi="Arial" w:cs="Arial"/>
                <w:sz w:val="20"/>
                <w:szCs w:val="20"/>
                <w:lang w:val="en-US"/>
              </w:rPr>
              <w:t>Waldron Health Centre</w:t>
            </w:r>
          </w:p>
        </w:tc>
        <w:tc>
          <w:tcPr>
            <w:tcW w:w="1416" w:type="dxa"/>
            <w:tcBorders>
              <w:top w:val="single" w:sz="12" w:space="0" w:color="auto"/>
            </w:tcBorders>
            <w:vAlign w:val="center"/>
          </w:tcPr>
          <w:p w14:paraId="4E90CE1E" w14:textId="2224E566" w:rsidR="0023726D" w:rsidRPr="00456EB9" w:rsidRDefault="0023726D" w:rsidP="00F86A4E">
            <w:pPr>
              <w:spacing w:after="0" w:line="240" w:lineRule="auto"/>
              <w:rPr>
                <w:rFonts w:ascii="Arial" w:hAnsi="Arial" w:cs="Arial"/>
                <w:sz w:val="20"/>
                <w:szCs w:val="20"/>
              </w:rPr>
            </w:pPr>
            <w:r w:rsidRPr="00456EB9">
              <w:rPr>
                <w:rFonts w:ascii="Arial" w:hAnsi="Arial" w:cs="Arial"/>
                <w:b/>
                <w:sz w:val="20"/>
                <w:szCs w:val="20"/>
              </w:rPr>
              <w:t>Location</w:t>
            </w:r>
          </w:p>
        </w:tc>
        <w:tc>
          <w:tcPr>
            <w:tcW w:w="4637" w:type="dxa"/>
            <w:tcBorders>
              <w:top w:val="single" w:sz="12" w:space="0" w:color="auto"/>
              <w:right w:val="single" w:sz="12" w:space="0" w:color="auto"/>
            </w:tcBorders>
            <w:vAlign w:val="center"/>
          </w:tcPr>
          <w:p w14:paraId="244028BF" w14:textId="27F6E30D" w:rsidR="0023726D" w:rsidRPr="00456EB9" w:rsidRDefault="0023726D" w:rsidP="00F86A4E">
            <w:pPr>
              <w:spacing w:after="0" w:line="240" w:lineRule="auto"/>
              <w:rPr>
                <w:rFonts w:ascii="Arial" w:hAnsi="Arial" w:cs="Arial"/>
                <w:sz w:val="20"/>
                <w:szCs w:val="20"/>
              </w:rPr>
            </w:pPr>
            <w:r w:rsidRPr="00456EB9">
              <w:rPr>
                <w:rFonts w:ascii="Arial" w:hAnsi="Arial" w:cs="Arial"/>
                <w:sz w:val="20"/>
                <w:szCs w:val="20"/>
              </w:rPr>
              <w:t>Clinic, Suite 8, 2nd Floor, Amersham Vale, London, SE14 6LD</w:t>
            </w:r>
          </w:p>
        </w:tc>
      </w:tr>
      <w:tr w:rsidR="0023726D" w:rsidRPr="00CE4F05" w14:paraId="3D0D124B" w14:textId="77777777" w:rsidTr="00456EB9">
        <w:tc>
          <w:tcPr>
            <w:tcW w:w="1554" w:type="dxa"/>
            <w:tcBorders>
              <w:left w:val="single" w:sz="12" w:space="0" w:color="auto"/>
              <w:bottom w:val="single" w:sz="8" w:space="0" w:color="auto"/>
            </w:tcBorders>
            <w:vAlign w:val="center"/>
          </w:tcPr>
          <w:p w14:paraId="17FDC1F3" w14:textId="20AFC615" w:rsidR="0023726D" w:rsidRPr="00456EB9" w:rsidRDefault="0023726D" w:rsidP="00F86A4E">
            <w:pPr>
              <w:spacing w:after="0" w:line="240" w:lineRule="auto"/>
              <w:rPr>
                <w:rFonts w:ascii="Arial" w:hAnsi="Arial" w:cs="Arial"/>
                <w:b/>
                <w:sz w:val="20"/>
                <w:szCs w:val="20"/>
              </w:rPr>
            </w:pPr>
            <w:r w:rsidRPr="00456EB9">
              <w:rPr>
                <w:rFonts w:ascii="Arial" w:hAnsi="Arial" w:cs="Arial"/>
                <w:b/>
                <w:sz w:val="20"/>
                <w:szCs w:val="20"/>
              </w:rPr>
              <w:t>How to access PrEP</w:t>
            </w:r>
          </w:p>
        </w:tc>
        <w:tc>
          <w:tcPr>
            <w:tcW w:w="8882" w:type="dxa"/>
            <w:gridSpan w:val="3"/>
            <w:tcBorders>
              <w:bottom w:val="single" w:sz="4" w:space="0" w:color="A5A5A5" w:themeColor="accent3"/>
              <w:right w:val="single" w:sz="12" w:space="0" w:color="auto"/>
            </w:tcBorders>
            <w:vAlign w:val="center"/>
          </w:tcPr>
          <w:p w14:paraId="77B1B34D" w14:textId="3D60883F" w:rsidR="0023726D" w:rsidRPr="00456EB9" w:rsidRDefault="00A91BA8" w:rsidP="00F86A4E">
            <w:pPr>
              <w:spacing w:after="0" w:line="240" w:lineRule="auto"/>
              <w:rPr>
                <w:rFonts w:ascii="Arial" w:hAnsi="Arial" w:cs="Arial"/>
                <w:sz w:val="20"/>
                <w:szCs w:val="20"/>
              </w:rPr>
            </w:pPr>
            <w:r w:rsidRPr="00456EB9">
              <w:rPr>
                <w:rFonts w:ascii="Arial" w:hAnsi="Arial" w:cs="Arial"/>
                <w:sz w:val="20"/>
                <w:szCs w:val="20"/>
              </w:rPr>
              <w:t>For people new to starting PrEP - Walk in ONLY</w:t>
            </w:r>
          </w:p>
          <w:p w14:paraId="3F6266C3" w14:textId="3000B1D0" w:rsidR="00A91BA8" w:rsidRPr="00456EB9" w:rsidRDefault="00A91BA8" w:rsidP="00F86A4E">
            <w:pPr>
              <w:spacing w:after="0" w:line="240" w:lineRule="auto"/>
              <w:rPr>
                <w:rFonts w:ascii="Arial" w:hAnsi="Arial" w:cs="Arial"/>
                <w:sz w:val="20"/>
                <w:szCs w:val="20"/>
              </w:rPr>
            </w:pPr>
            <w:r w:rsidRPr="00456EB9">
              <w:rPr>
                <w:rFonts w:ascii="Arial" w:hAnsi="Arial" w:cs="Arial"/>
                <w:sz w:val="20"/>
                <w:szCs w:val="20"/>
              </w:rPr>
              <w:t xml:space="preserve">For people continuing on PrEP can book a virtual appointment: </w:t>
            </w:r>
            <w:hyperlink r:id="rId28" w:history="1">
              <w:r w:rsidRPr="00456EB9">
                <w:rPr>
                  <w:rStyle w:val="Hyperlink"/>
                  <w:rFonts w:ascii="Arial" w:hAnsi="Arial" w:cs="Arial"/>
                  <w:sz w:val="20"/>
                  <w:szCs w:val="20"/>
                </w:rPr>
                <w:t>https://nhs.herohealth.net/locations/prep-telehealth-online</w:t>
              </w:r>
            </w:hyperlink>
            <w:r w:rsidRPr="00456EB9">
              <w:rPr>
                <w:rFonts w:ascii="Arial" w:hAnsi="Arial" w:cs="Arial"/>
                <w:sz w:val="20"/>
                <w:szCs w:val="20"/>
              </w:rPr>
              <w:t xml:space="preserve"> </w:t>
            </w:r>
          </w:p>
        </w:tc>
      </w:tr>
      <w:tr w:rsidR="00456EB9" w:rsidRPr="00CE4F05" w14:paraId="073E1F65" w14:textId="77777777" w:rsidTr="00456EB9">
        <w:trPr>
          <w:trHeight w:val="408"/>
        </w:trPr>
        <w:tc>
          <w:tcPr>
            <w:tcW w:w="1554" w:type="dxa"/>
            <w:tcBorders>
              <w:top w:val="single" w:sz="8" w:space="0" w:color="auto"/>
              <w:left w:val="single" w:sz="12" w:space="0" w:color="auto"/>
              <w:bottom w:val="single" w:sz="4" w:space="0" w:color="auto"/>
              <w:right w:val="single" w:sz="4" w:space="0" w:color="A5A5A5" w:themeColor="accent3"/>
            </w:tcBorders>
            <w:vAlign w:val="center"/>
          </w:tcPr>
          <w:p w14:paraId="44434DF3" w14:textId="33BD75EB" w:rsidR="00456EB9" w:rsidRPr="00456EB9" w:rsidRDefault="00456EB9" w:rsidP="00456EB9">
            <w:pPr>
              <w:spacing w:after="0" w:line="240" w:lineRule="auto"/>
              <w:rPr>
                <w:rFonts w:ascii="Arial" w:hAnsi="Arial" w:cs="Arial"/>
                <w:b/>
                <w:sz w:val="20"/>
                <w:szCs w:val="20"/>
              </w:rPr>
            </w:pPr>
            <w:r w:rsidRPr="00456EB9">
              <w:rPr>
                <w:rFonts w:ascii="Arial" w:hAnsi="Arial" w:cs="Arial"/>
                <w:b/>
                <w:sz w:val="20"/>
                <w:szCs w:val="20"/>
              </w:rPr>
              <w:t>Clinic name</w:t>
            </w:r>
          </w:p>
        </w:tc>
        <w:tc>
          <w:tcPr>
            <w:tcW w:w="2829" w:type="dxa"/>
            <w:tcBorders>
              <w:top w:val="single" w:sz="8" w:space="0" w:color="auto"/>
              <w:left w:val="single" w:sz="4" w:space="0" w:color="A5A5A5" w:themeColor="accent3"/>
              <w:bottom w:val="single" w:sz="2" w:space="0" w:color="auto"/>
              <w:right w:val="single" w:sz="2" w:space="0" w:color="auto"/>
            </w:tcBorders>
            <w:vAlign w:val="center"/>
          </w:tcPr>
          <w:p w14:paraId="04494C11" w14:textId="56094724" w:rsidR="00456EB9" w:rsidRPr="00456EB9" w:rsidRDefault="00456EB9" w:rsidP="00456EB9">
            <w:pPr>
              <w:spacing w:after="0" w:line="240" w:lineRule="auto"/>
              <w:rPr>
                <w:rFonts w:ascii="Arial" w:hAnsi="Arial" w:cs="Arial"/>
                <w:sz w:val="20"/>
                <w:szCs w:val="20"/>
              </w:rPr>
            </w:pPr>
            <w:r w:rsidRPr="00456EB9">
              <w:rPr>
                <w:rFonts w:ascii="Arial" w:hAnsi="Arial" w:cs="Arial"/>
                <w:sz w:val="20"/>
                <w:szCs w:val="20"/>
              </w:rPr>
              <w:t>Trafalgar Clinic (Queen Elizabeth Hospital)</w:t>
            </w:r>
          </w:p>
        </w:tc>
        <w:tc>
          <w:tcPr>
            <w:tcW w:w="1416" w:type="dxa"/>
            <w:tcBorders>
              <w:top w:val="single" w:sz="8" w:space="0" w:color="auto"/>
              <w:left w:val="single" w:sz="2" w:space="0" w:color="auto"/>
              <w:bottom w:val="single" w:sz="4" w:space="0" w:color="auto"/>
              <w:right w:val="single" w:sz="2" w:space="0" w:color="auto"/>
            </w:tcBorders>
            <w:vAlign w:val="center"/>
          </w:tcPr>
          <w:p w14:paraId="0AF7DF8D" w14:textId="2D3D9CCD" w:rsidR="00456EB9" w:rsidRPr="00456EB9" w:rsidRDefault="00456EB9" w:rsidP="00456EB9">
            <w:pPr>
              <w:spacing w:after="0" w:line="240" w:lineRule="auto"/>
              <w:rPr>
                <w:rFonts w:ascii="Arial" w:hAnsi="Arial" w:cs="Arial"/>
                <w:b/>
                <w:sz w:val="20"/>
                <w:szCs w:val="20"/>
              </w:rPr>
            </w:pPr>
            <w:r w:rsidRPr="00456EB9">
              <w:rPr>
                <w:rFonts w:ascii="Arial" w:hAnsi="Arial" w:cs="Arial"/>
                <w:b/>
                <w:sz w:val="20"/>
                <w:szCs w:val="20"/>
              </w:rPr>
              <w:t>Location</w:t>
            </w:r>
          </w:p>
        </w:tc>
        <w:tc>
          <w:tcPr>
            <w:tcW w:w="4637" w:type="dxa"/>
            <w:tcBorders>
              <w:top w:val="single" w:sz="8" w:space="0" w:color="auto"/>
              <w:left w:val="single" w:sz="2" w:space="0" w:color="auto"/>
              <w:bottom w:val="single" w:sz="4" w:space="0" w:color="auto"/>
              <w:right w:val="single" w:sz="12" w:space="0" w:color="auto"/>
            </w:tcBorders>
            <w:vAlign w:val="center"/>
          </w:tcPr>
          <w:p w14:paraId="651239BE" w14:textId="21D2A405" w:rsidR="00456EB9" w:rsidRPr="00456EB9" w:rsidRDefault="00456EB9" w:rsidP="00456EB9">
            <w:pPr>
              <w:spacing w:after="0" w:line="240" w:lineRule="auto"/>
              <w:rPr>
                <w:rFonts w:ascii="Arial" w:hAnsi="Arial" w:cs="Arial"/>
                <w:sz w:val="20"/>
                <w:szCs w:val="20"/>
              </w:rPr>
            </w:pPr>
            <w:r w:rsidRPr="00456EB9">
              <w:rPr>
                <w:rFonts w:ascii="Arial" w:hAnsi="Arial" w:cs="Arial"/>
                <w:sz w:val="20"/>
                <w:szCs w:val="20"/>
              </w:rPr>
              <w:t>West Entrance, Queen Elizabeth Hospital, Woolwich SE18 4QH</w:t>
            </w:r>
          </w:p>
        </w:tc>
      </w:tr>
      <w:tr w:rsidR="00456EB9" w:rsidRPr="00CE4F05" w14:paraId="3E6739BC" w14:textId="77777777" w:rsidTr="00456EB9">
        <w:trPr>
          <w:trHeight w:val="408"/>
        </w:trPr>
        <w:tc>
          <w:tcPr>
            <w:tcW w:w="1554" w:type="dxa"/>
            <w:tcBorders>
              <w:top w:val="single" w:sz="4" w:space="0" w:color="auto"/>
              <w:left w:val="single" w:sz="12" w:space="0" w:color="auto"/>
              <w:bottom w:val="single" w:sz="4" w:space="0" w:color="auto"/>
              <w:right w:val="single" w:sz="4" w:space="0" w:color="A5A5A5" w:themeColor="accent3"/>
            </w:tcBorders>
            <w:vAlign w:val="center"/>
          </w:tcPr>
          <w:p w14:paraId="2B14A54E" w14:textId="67BD1897" w:rsidR="00456EB9" w:rsidRPr="00456EB9" w:rsidRDefault="00456EB9" w:rsidP="00456EB9">
            <w:pPr>
              <w:spacing w:after="0" w:line="240" w:lineRule="auto"/>
              <w:rPr>
                <w:rFonts w:ascii="Arial" w:hAnsi="Arial" w:cs="Arial"/>
                <w:b/>
                <w:sz w:val="20"/>
                <w:szCs w:val="20"/>
              </w:rPr>
            </w:pPr>
            <w:r w:rsidRPr="00456EB9">
              <w:rPr>
                <w:rFonts w:ascii="Arial" w:hAnsi="Arial" w:cs="Arial"/>
                <w:b/>
                <w:sz w:val="20"/>
                <w:szCs w:val="20"/>
              </w:rPr>
              <w:t>How to access PrEP</w:t>
            </w:r>
          </w:p>
        </w:tc>
        <w:tc>
          <w:tcPr>
            <w:tcW w:w="8882" w:type="dxa"/>
            <w:gridSpan w:val="3"/>
            <w:tcBorders>
              <w:top w:val="single" w:sz="2" w:space="0" w:color="auto"/>
              <w:left w:val="single" w:sz="4" w:space="0" w:color="A5A5A5" w:themeColor="accent3"/>
              <w:bottom w:val="single" w:sz="4" w:space="0" w:color="auto"/>
              <w:right w:val="single" w:sz="12" w:space="0" w:color="auto"/>
            </w:tcBorders>
            <w:vAlign w:val="center"/>
          </w:tcPr>
          <w:p w14:paraId="52165928" w14:textId="59517A5E" w:rsidR="00456EB9" w:rsidRPr="00456EB9" w:rsidRDefault="00456EB9" w:rsidP="00456EB9">
            <w:pPr>
              <w:spacing w:after="0" w:line="240" w:lineRule="auto"/>
              <w:rPr>
                <w:rFonts w:ascii="Arial" w:hAnsi="Arial" w:cs="Arial"/>
                <w:sz w:val="20"/>
                <w:szCs w:val="20"/>
              </w:rPr>
            </w:pPr>
            <w:r w:rsidRPr="00456EB9">
              <w:rPr>
                <w:rFonts w:ascii="Arial" w:hAnsi="Arial" w:cs="Arial"/>
                <w:sz w:val="20"/>
                <w:szCs w:val="20"/>
              </w:rPr>
              <w:t xml:space="preserve"> </w:t>
            </w:r>
            <w:r w:rsidRPr="00456EB9">
              <w:rPr>
                <w:rFonts w:ascii="Arial" w:hAnsi="Arial" w:cs="Arial"/>
                <w:color w:val="212B32"/>
                <w:sz w:val="20"/>
                <w:szCs w:val="20"/>
              </w:rPr>
              <w:t>Walk in ONLY.</w:t>
            </w:r>
          </w:p>
        </w:tc>
      </w:tr>
      <w:tr w:rsidR="00456EB9" w:rsidRPr="00CE4F05" w14:paraId="01CEF6C3" w14:textId="77777777" w:rsidTr="00456EB9">
        <w:trPr>
          <w:trHeight w:val="408"/>
        </w:trPr>
        <w:tc>
          <w:tcPr>
            <w:tcW w:w="1554" w:type="dxa"/>
            <w:tcBorders>
              <w:top w:val="single" w:sz="4" w:space="0" w:color="auto"/>
              <w:left w:val="single" w:sz="12" w:space="0" w:color="auto"/>
              <w:bottom w:val="single" w:sz="12" w:space="0" w:color="auto"/>
              <w:right w:val="single" w:sz="4" w:space="0" w:color="A5A5A5" w:themeColor="accent3"/>
            </w:tcBorders>
            <w:vAlign w:val="center"/>
          </w:tcPr>
          <w:p w14:paraId="507A031D" w14:textId="7AC9286D" w:rsidR="00456EB9" w:rsidRPr="00456EB9" w:rsidRDefault="00456EB9" w:rsidP="00456EB9">
            <w:pPr>
              <w:spacing w:after="0" w:line="240" w:lineRule="auto"/>
              <w:rPr>
                <w:rFonts w:ascii="Arial" w:hAnsi="Arial" w:cs="Arial"/>
                <w:b/>
                <w:sz w:val="20"/>
                <w:szCs w:val="20"/>
              </w:rPr>
            </w:pPr>
            <w:r w:rsidRPr="00456EB9">
              <w:rPr>
                <w:rFonts w:ascii="Arial" w:hAnsi="Arial" w:cs="Arial"/>
                <w:b/>
                <w:sz w:val="20"/>
                <w:szCs w:val="20"/>
              </w:rPr>
              <w:t>Website</w:t>
            </w:r>
          </w:p>
        </w:tc>
        <w:tc>
          <w:tcPr>
            <w:tcW w:w="8882" w:type="dxa"/>
            <w:gridSpan w:val="3"/>
            <w:tcBorders>
              <w:top w:val="single" w:sz="4" w:space="0" w:color="auto"/>
              <w:left w:val="single" w:sz="4" w:space="0" w:color="A5A5A5" w:themeColor="accent3"/>
              <w:bottom w:val="single" w:sz="12" w:space="0" w:color="auto"/>
              <w:right w:val="single" w:sz="12" w:space="0" w:color="auto"/>
            </w:tcBorders>
            <w:vAlign w:val="center"/>
          </w:tcPr>
          <w:p w14:paraId="73D65D87" w14:textId="1220E513" w:rsidR="00456EB9" w:rsidRPr="00456EB9" w:rsidRDefault="00000000" w:rsidP="00456EB9">
            <w:pPr>
              <w:spacing w:after="0" w:line="240" w:lineRule="auto"/>
              <w:rPr>
                <w:rFonts w:ascii="Arial" w:hAnsi="Arial" w:cs="Arial"/>
                <w:sz w:val="20"/>
                <w:szCs w:val="20"/>
              </w:rPr>
            </w:pPr>
            <w:hyperlink r:id="rId29" w:history="1">
              <w:r w:rsidR="00456EB9" w:rsidRPr="00456EB9">
                <w:rPr>
                  <w:rStyle w:val="Hyperlink"/>
                  <w:rFonts w:ascii="Arial" w:hAnsi="Arial" w:cs="Arial"/>
                  <w:sz w:val="20"/>
                  <w:szCs w:val="20"/>
                  <w:lang w:val="en-US"/>
                </w:rPr>
                <w:t>https://www.lewishamandgreenwich.nhs.uk/sexual-health/</w:t>
              </w:r>
            </w:hyperlink>
          </w:p>
        </w:tc>
      </w:tr>
      <w:tr w:rsidR="00456EB9" w:rsidRPr="00CE4F05" w14:paraId="0C0F3E5D" w14:textId="77777777" w:rsidTr="00D203BE">
        <w:trPr>
          <w:trHeight w:val="476"/>
        </w:trPr>
        <w:tc>
          <w:tcPr>
            <w:tcW w:w="10436" w:type="dxa"/>
            <w:gridSpan w:val="4"/>
            <w:tcBorders>
              <w:left w:val="single" w:sz="12" w:space="0" w:color="auto"/>
              <w:right w:val="single" w:sz="12" w:space="0" w:color="auto"/>
            </w:tcBorders>
            <w:shd w:val="clear" w:color="auto" w:fill="F2F2F2" w:themeFill="background1" w:themeFillShade="F2"/>
            <w:vAlign w:val="center"/>
          </w:tcPr>
          <w:p w14:paraId="0FB0C8AD" w14:textId="7EC4D7BA" w:rsidR="00456EB9" w:rsidRPr="00D203BE" w:rsidRDefault="00456EB9" w:rsidP="00456EB9">
            <w:pPr>
              <w:spacing w:after="0" w:line="240" w:lineRule="auto"/>
              <w:rPr>
                <w:rFonts w:ascii="Arial" w:hAnsi="Arial" w:cs="Arial"/>
                <w:sz w:val="24"/>
                <w:szCs w:val="24"/>
              </w:rPr>
            </w:pPr>
            <w:r w:rsidRPr="00D203BE">
              <w:rPr>
                <w:rFonts w:ascii="Arial" w:hAnsi="Arial" w:cs="Arial"/>
                <w:b/>
                <w:sz w:val="24"/>
                <w:szCs w:val="24"/>
              </w:rPr>
              <w:t>Bromley Sexual Health services</w:t>
            </w:r>
          </w:p>
        </w:tc>
      </w:tr>
      <w:tr w:rsidR="00456EB9" w:rsidRPr="00CE4F05" w14:paraId="5825B1F9" w14:textId="77777777" w:rsidTr="00F86A4E">
        <w:tc>
          <w:tcPr>
            <w:tcW w:w="1554" w:type="dxa"/>
            <w:tcBorders>
              <w:top w:val="single" w:sz="12" w:space="0" w:color="auto"/>
              <w:left w:val="single" w:sz="12" w:space="0" w:color="auto"/>
            </w:tcBorders>
            <w:vAlign w:val="center"/>
          </w:tcPr>
          <w:p w14:paraId="5EE81B49" w14:textId="26E5427F" w:rsidR="00456EB9" w:rsidRPr="00CE4F05" w:rsidRDefault="00456EB9" w:rsidP="00456EB9">
            <w:pPr>
              <w:spacing w:after="0" w:line="240" w:lineRule="auto"/>
              <w:rPr>
                <w:rFonts w:ascii="Arial" w:hAnsi="Arial" w:cs="Arial"/>
                <w:b/>
                <w:sz w:val="20"/>
                <w:szCs w:val="20"/>
              </w:rPr>
            </w:pPr>
            <w:r w:rsidRPr="00F86A4E">
              <w:rPr>
                <w:rFonts w:ascii="Arial" w:hAnsi="Arial" w:cs="Arial"/>
                <w:b/>
                <w:sz w:val="20"/>
                <w:szCs w:val="20"/>
              </w:rPr>
              <w:t>Clinic name</w:t>
            </w:r>
          </w:p>
        </w:tc>
        <w:tc>
          <w:tcPr>
            <w:tcW w:w="2829" w:type="dxa"/>
            <w:tcBorders>
              <w:top w:val="single" w:sz="12" w:space="0" w:color="auto"/>
            </w:tcBorders>
            <w:vAlign w:val="center"/>
          </w:tcPr>
          <w:p w14:paraId="096BB3D0" w14:textId="4434B683" w:rsidR="00456EB9" w:rsidRPr="00924667" w:rsidRDefault="00456EB9" w:rsidP="00456EB9">
            <w:pPr>
              <w:spacing w:after="0" w:line="240" w:lineRule="auto"/>
              <w:rPr>
                <w:rFonts w:ascii="Arial" w:hAnsi="Arial" w:cs="Arial"/>
                <w:lang w:val="en-US"/>
              </w:rPr>
            </w:pPr>
            <w:r w:rsidRPr="00F86A4E">
              <w:rPr>
                <w:rFonts w:ascii="Arial" w:hAnsi="Arial" w:cs="Arial"/>
                <w:sz w:val="20"/>
                <w:szCs w:val="20"/>
              </w:rPr>
              <w:t>Beckenham Sexual Health Walk in Clinic</w:t>
            </w:r>
          </w:p>
        </w:tc>
        <w:tc>
          <w:tcPr>
            <w:tcW w:w="1416" w:type="dxa"/>
            <w:tcBorders>
              <w:top w:val="single" w:sz="12" w:space="0" w:color="auto"/>
            </w:tcBorders>
            <w:vAlign w:val="center"/>
          </w:tcPr>
          <w:p w14:paraId="03DDE272" w14:textId="09BC04D6" w:rsidR="00456EB9" w:rsidRPr="00CE4F05" w:rsidRDefault="00456EB9" w:rsidP="00456EB9">
            <w:pPr>
              <w:spacing w:after="0" w:line="240" w:lineRule="auto"/>
              <w:rPr>
                <w:rFonts w:ascii="Arial" w:hAnsi="Arial" w:cs="Arial"/>
                <w:sz w:val="20"/>
                <w:szCs w:val="20"/>
              </w:rPr>
            </w:pPr>
            <w:r w:rsidRPr="00F86A4E">
              <w:rPr>
                <w:rFonts w:ascii="Arial" w:hAnsi="Arial" w:cs="Arial"/>
                <w:b/>
                <w:sz w:val="20"/>
                <w:szCs w:val="20"/>
              </w:rPr>
              <w:t>Location</w:t>
            </w:r>
          </w:p>
        </w:tc>
        <w:tc>
          <w:tcPr>
            <w:tcW w:w="4637" w:type="dxa"/>
            <w:tcBorders>
              <w:top w:val="single" w:sz="12" w:space="0" w:color="auto"/>
              <w:right w:val="single" w:sz="12" w:space="0" w:color="auto"/>
            </w:tcBorders>
            <w:vAlign w:val="center"/>
          </w:tcPr>
          <w:p w14:paraId="7244E582" w14:textId="0D12321A" w:rsidR="00456EB9" w:rsidRPr="00CE4F05" w:rsidRDefault="00456EB9" w:rsidP="00456EB9">
            <w:pPr>
              <w:spacing w:after="0" w:line="240" w:lineRule="auto"/>
              <w:rPr>
                <w:rFonts w:ascii="Arial" w:hAnsi="Arial" w:cs="Arial"/>
                <w:sz w:val="20"/>
                <w:szCs w:val="20"/>
              </w:rPr>
            </w:pPr>
            <w:r w:rsidRPr="00F86A4E">
              <w:rPr>
                <w:rFonts w:ascii="Arial" w:hAnsi="Arial" w:cs="Arial"/>
                <w:sz w:val="20"/>
                <w:szCs w:val="20"/>
              </w:rPr>
              <w:t>379 Croydon Rd, Beckenham BR3 3QL</w:t>
            </w:r>
          </w:p>
        </w:tc>
      </w:tr>
      <w:tr w:rsidR="00456EB9" w:rsidRPr="00CE4F05" w14:paraId="4607B73C" w14:textId="77777777" w:rsidTr="00F86A4E">
        <w:tc>
          <w:tcPr>
            <w:tcW w:w="1554" w:type="dxa"/>
            <w:tcBorders>
              <w:left w:val="single" w:sz="12" w:space="0" w:color="auto"/>
              <w:bottom w:val="single" w:sz="4" w:space="0" w:color="A5A5A5" w:themeColor="accent3"/>
            </w:tcBorders>
            <w:vAlign w:val="center"/>
          </w:tcPr>
          <w:p w14:paraId="37D18D49" w14:textId="6A08863A" w:rsidR="00456EB9" w:rsidRPr="00CE4F05" w:rsidRDefault="00456EB9" w:rsidP="00456EB9">
            <w:pPr>
              <w:spacing w:after="0" w:line="240" w:lineRule="auto"/>
              <w:rPr>
                <w:rFonts w:ascii="Arial" w:hAnsi="Arial" w:cs="Arial"/>
                <w:b/>
                <w:sz w:val="20"/>
                <w:szCs w:val="20"/>
              </w:rPr>
            </w:pPr>
            <w:r w:rsidRPr="00F86A4E">
              <w:rPr>
                <w:rFonts w:ascii="Arial" w:hAnsi="Arial" w:cs="Arial"/>
                <w:b/>
                <w:sz w:val="20"/>
                <w:szCs w:val="20"/>
              </w:rPr>
              <w:t>How to access PrEP</w:t>
            </w:r>
          </w:p>
        </w:tc>
        <w:tc>
          <w:tcPr>
            <w:tcW w:w="8882" w:type="dxa"/>
            <w:gridSpan w:val="3"/>
            <w:tcBorders>
              <w:bottom w:val="single" w:sz="4" w:space="0" w:color="A5A5A5" w:themeColor="accent3"/>
              <w:right w:val="single" w:sz="12" w:space="0" w:color="auto"/>
            </w:tcBorders>
            <w:vAlign w:val="center"/>
          </w:tcPr>
          <w:p w14:paraId="41611FA4" w14:textId="461FD9B2" w:rsidR="00456EB9" w:rsidRPr="00F34E47" w:rsidRDefault="00456EB9" w:rsidP="00456EB9">
            <w:pPr>
              <w:spacing w:after="0" w:line="240" w:lineRule="auto"/>
              <w:rPr>
                <w:rFonts w:ascii="Arial" w:hAnsi="Arial" w:cs="Arial"/>
                <w:color w:val="212B32"/>
                <w:sz w:val="20"/>
                <w:szCs w:val="20"/>
              </w:rPr>
            </w:pPr>
            <w:r w:rsidRPr="00F86A4E">
              <w:rPr>
                <w:rFonts w:ascii="Arial" w:hAnsi="Arial" w:cs="Arial"/>
                <w:color w:val="212B32"/>
                <w:sz w:val="20"/>
                <w:szCs w:val="20"/>
              </w:rPr>
              <w:t xml:space="preserve">Walk in ONLY. </w:t>
            </w:r>
          </w:p>
        </w:tc>
      </w:tr>
      <w:tr w:rsidR="00456EB9" w:rsidRPr="00CE4F05" w14:paraId="4591D16E" w14:textId="77777777" w:rsidTr="00D14885">
        <w:trPr>
          <w:trHeight w:val="328"/>
        </w:trPr>
        <w:tc>
          <w:tcPr>
            <w:tcW w:w="1554" w:type="dxa"/>
            <w:tcBorders>
              <w:top w:val="single" w:sz="4" w:space="0" w:color="A5A5A5" w:themeColor="accent3"/>
              <w:left w:val="single" w:sz="12" w:space="0" w:color="auto"/>
              <w:bottom w:val="single" w:sz="12" w:space="0" w:color="auto"/>
            </w:tcBorders>
            <w:vAlign w:val="center"/>
          </w:tcPr>
          <w:p w14:paraId="50773857" w14:textId="2E8AA15D" w:rsidR="00456EB9" w:rsidRPr="00CE4F05" w:rsidRDefault="00456EB9" w:rsidP="00456EB9">
            <w:pPr>
              <w:spacing w:after="0" w:line="240" w:lineRule="auto"/>
              <w:rPr>
                <w:rFonts w:ascii="Arial" w:hAnsi="Arial" w:cs="Arial"/>
                <w:b/>
                <w:sz w:val="20"/>
                <w:szCs w:val="20"/>
              </w:rPr>
            </w:pPr>
            <w:r w:rsidRPr="00F86A4E">
              <w:rPr>
                <w:rFonts w:ascii="Arial" w:hAnsi="Arial" w:cs="Arial"/>
                <w:b/>
                <w:sz w:val="20"/>
                <w:szCs w:val="20"/>
              </w:rPr>
              <w:t>Website</w:t>
            </w:r>
          </w:p>
        </w:tc>
        <w:tc>
          <w:tcPr>
            <w:tcW w:w="8882" w:type="dxa"/>
            <w:gridSpan w:val="3"/>
            <w:tcBorders>
              <w:top w:val="single" w:sz="4" w:space="0" w:color="A5A5A5" w:themeColor="accent3"/>
              <w:bottom w:val="single" w:sz="12" w:space="0" w:color="auto"/>
              <w:right w:val="single" w:sz="12" w:space="0" w:color="auto"/>
            </w:tcBorders>
            <w:vAlign w:val="center"/>
          </w:tcPr>
          <w:p w14:paraId="08B93E25" w14:textId="175D39BD" w:rsidR="00456EB9" w:rsidRPr="00CE4F05" w:rsidRDefault="00000000" w:rsidP="00456EB9">
            <w:pPr>
              <w:spacing w:after="0" w:line="240" w:lineRule="auto"/>
              <w:rPr>
                <w:rFonts w:ascii="Arial" w:hAnsi="Arial" w:cs="Arial"/>
                <w:sz w:val="20"/>
                <w:szCs w:val="20"/>
              </w:rPr>
            </w:pPr>
            <w:hyperlink r:id="rId30" w:history="1">
              <w:r w:rsidR="00456EB9" w:rsidRPr="00F86A4E">
                <w:rPr>
                  <w:rStyle w:val="Hyperlink"/>
                  <w:rFonts w:ascii="Arial" w:hAnsi="Arial" w:cs="Arial"/>
                  <w:sz w:val="20"/>
                  <w:szCs w:val="20"/>
                </w:rPr>
                <w:t>Beckenham Beacon sexual health clinic :: Bromley Sexual Health (sexualhealthbromley.co.uk)</w:t>
              </w:r>
            </w:hyperlink>
          </w:p>
        </w:tc>
      </w:tr>
    </w:tbl>
    <w:p w14:paraId="19F34944" w14:textId="254E67D5" w:rsidR="00CE4F05" w:rsidRDefault="00CE4F05" w:rsidP="008779FD">
      <w:pPr>
        <w:rPr>
          <w:rFonts w:ascii="Arial" w:hAnsi="Arial" w:cs="Arial"/>
          <w:b/>
          <w:sz w:val="20"/>
          <w:szCs w:val="20"/>
        </w:rPr>
      </w:pPr>
    </w:p>
    <w:sectPr w:rsidR="00CE4F05" w:rsidSect="00D612E1">
      <w:headerReference w:type="default" r:id="rId3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B425" w14:textId="77777777" w:rsidR="00006507" w:rsidRDefault="00006507">
      <w:pPr>
        <w:spacing w:after="0" w:line="240" w:lineRule="auto"/>
      </w:pPr>
      <w:r>
        <w:separator/>
      </w:r>
    </w:p>
  </w:endnote>
  <w:endnote w:type="continuationSeparator" w:id="0">
    <w:p w14:paraId="4C1951F9" w14:textId="77777777" w:rsidR="00006507" w:rsidRDefault="0000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B967" w14:textId="77777777" w:rsidR="00006507" w:rsidRDefault="00006507">
      <w:pPr>
        <w:spacing w:after="0" w:line="240" w:lineRule="auto"/>
      </w:pPr>
      <w:r>
        <w:separator/>
      </w:r>
    </w:p>
  </w:footnote>
  <w:footnote w:type="continuationSeparator" w:id="0">
    <w:p w14:paraId="663CD6B1" w14:textId="77777777" w:rsidR="00006507" w:rsidRDefault="00006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FCB7" w14:textId="2F3A5570" w:rsidR="00575630" w:rsidRDefault="00784027" w:rsidP="00FB14F4">
    <w:pPr>
      <w:pStyle w:val="NormalWeb"/>
      <w:jc w:val="right"/>
    </w:pPr>
    <w:r>
      <w:rPr>
        <w:noProof/>
      </w:rPr>
      <w:drawing>
        <wp:anchor distT="0" distB="0" distL="114300" distR="114300" simplePos="0" relativeHeight="251659264" behindDoc="1" locked="0" layoutInCell="1" allowOverlap="1" wp14:anchorId="16C3A396" wp14:editId="3CE073FE">
          <wp:simplePos x="0" y="0"/>
          <wp:positionH relativeFrom="margin">
            <wp:posOffset>1746250</wp:posOffset>
          </wp:positionH>
          <wp:positionV relativeFrom="paragraph">
            <wp:posOffset>-10795</wp:posOffset>
          </wp:positionV>
          <wp:extent cx="1240155" cy="390525"/>
          <wp:effectExtent l="0" t="0" r="0" b="9525"/>
          <wp:wrapTight wrapText="bothSides">
            <wp:wrapPolygon edited="0">
              <wp:start x="0" y="0"/>
              <wp:lineTo x="0" y="21073"/>
              <wp:lineTo x="21235" y="21073"/>
              <wp:lineTo x="21235" y="0"/>
              <wp:lineTo x="0" y="0"/>
            </wp:wrapPolygon>
          </wp:wrapTight>
          <wp:docPr id="7" name="Picture 7" descr="Home | King's College Hospital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King's College Hospital NHS Found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3241ECB" wp14:editId="7CC40555">
          <wp:simplePos x="0" y="0"/>
          <wp:positionH relativeFrom="margin">
            <wp:posOffset>3354070</wp:posOffset>
          </wp:positionH>
          <wp:positionV relativeFrom="paragraph">
            <wp:posOffset>-36830</wp:posOffset>
          </wp:positionV>
          <wp:extent cx="1343660" cy="466725"/>
          <wp:effectExtent l="0" t="0" r="8890" b="9525"/>
          <wp:wrapTight wrapText="bothSides">
            <wp:wrapPolygon edited="0">
              <wp:start x="0" y="0"/>
              <wp:lineTo x="0" y="21159"/>
              <wp:lineTo x="21437" y="21159"/>
              <wp:lineTo x="21437" y="0"/>
              <wp:lineTo x="0" y="0"/>
            </wp:wrapPolygon>
          </wp:wrapTight>
          <wp:docPr id="9" name="Picture 9" descr="logo higher def – clin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higher def – cliniQ"/>
                  <pic:cNvPicPr>
                    <a:picLocks noChangeAspect="1" noChangeArrowheads="1"/>
                  </pic:cNvPicPr>
                </pic:nvPicPr>
                <pic:blipFill rotWithShape="1">
                  <a:blip r:embed="rId2">
                    <a:extLst>
                      <a:ext uri="{28A0092B-C50C-407E-A947-70E740481C1C}">
                        <a14:useLocalDpi xmlns:a14="http://schemas.microsoft.com/office/drawing/2010/main" val="0"/>
                      </a:ext>
                    </a:extLst>
                  </a:blip>
                  <a:srcRect t="28975" b="21908"/>
                  <a:stretch/>
                </pic:blipFill>
                <pic:spPr bwMode="auto">
                  <a:xfrm>
                    <a:off x="0" y="0"/>
                    <a:ext cx="1343660"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1BA8">
      <w:rPr>
        <w:noProof/>
      </w:rPr>
      <w:drawing>
        <wp:anchor distT="0" distB="0" distL="114300" distR="114300" simplePos="0" relativeHeight="251660288" behindDoc="1" locked="0" layoutInCell="1" allowOverlap="1" wp14:anchorId="5367EE71" wp14:editId="7DD23AF1">
          <wp:simplePos x="0" y="0"/>
          <wp:positionH relativeFrom="margin">
            <wp:posOffset>5118100</wp:posOffset>
          </wp:positionH>
          <wp:positionV relativeFrom="paragraph">
            <wp:posOffset>8890</wp:posOffset>
          </wp:positionV>
          <wp:extent cx="1377315" cy="386715"/>
          <wp:effectExtent l="0" t="0" r="0" b="0"/>
          <wp:wrapTight wrapText="bothSides">
            <wp:wrapPolygon edited="0">
              <wp:start x="0" y="0"/>
              <wp:lineTo x="0" y="20217"/>
              <wp:lineTo x="5975" y="20217"/>
              <wp:lineTo x="21212" y="17025"/>
              <wp:lineTo x="21212" y="9576"/>
              <wp:lineTo x="6871" y="0"/>
              <wp:lineTo x="0" y="0"/>
            </wp:wrapPolygon>
          </wp:wrapTight>
          <wp:docPr id="8" name="Picture 8" descr="Home | Lewisham and Green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Lewisham and Greenwic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3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A8" w:rsidRPr="00C4598A">
      <w:rPr>
        <w:noProof/>
      </w:rPr>
      <w:drawing>
        <wp:anchor distT="0" distB="0" distL="114300" distR="114300" simplePos="0" relativeHeight="251657216" behindDoc="1" locked="0" layoutInCell="1" allowOverlap="1" wp14:anchorId="68D781E2" wp14:editId="09CC23DD">
          <wp:simplePos x="0" y="0"/>
          <wp:positionH relativeFrom="column">
            <wp:posOffset>57150</wp:posOffset>
          </wp:positionH>
          <wp:positionV relativeFrom="paragraph">
            <wp:posOffset>-28575</wp:posOffset>
          </wp:positionV>
          <wp:extent cx="1212850" cy="396875"/>
          <wp:effectExtent l="0" t="0" r="6350" b="3175"/>
          <wp:wrapTight wrapText="bothSides">
            <wp:wrapPolygon edited="0">
              <wp:start x="0" y="0"/>
              <wp:lineTo x="0" y="20736"/>
              <wp:lineTo x="15267" y="20736"/>
              <wp:lineTo x="15946" y="20736"/>
              <wp:lineTo x="21035" y="16589"/>
              <wp:lineTo x="21374" y="14515"/>
              <wp:lineTo x="21374" y="10368"/>
              <wp:lineTo x="8142" y="0"/>
              <wp:lineTo x="0" y="0"/>
            </wp:wrapPolygon>
          </wp:wrapTight>
          <wp:docPr id="47" name="Picture 46">
            <a:extLst xmlns:a="http://schemas.openxmlformats.org/drawingml/2006/main">
              <a:ext uri="{FF2B5EF4-FFF2-40B4-BE49-F238E27FC236}">
                <a16:creationId xmlns:a16="http://schemas.microsoft.com/office/drawing/2014/main" id="{6CCA4903-30FC-4BA3-8184-2037FF2135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a:extLst>
                      <a:ext uri="{FF2B5EF4-FFF2-40B4-BE49-F238E27FC236}">
                        <a16:creationId xmlns:a16="http://schemas.microsoft.com/office/drawing/2014/main" id="{6CCA4903-30FC-4BA3-8184-2037FF2135F6}"/>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12850" cy="396875"/>
                  </a:xfrm>
                  <a:prstGeom prst="rect">
                    <a:avLst/>
                  </a:prstGeom>
                </pic:spPr>
              </pic:pic>
            </a:graphicData>
          </a:graphic>
          <wp14:sizeRelH relativeFrom="page">
            <wp14:pctWidth>0</wp14:pctWidth>
          </wp14:sizeRelH>
          <wp14:sizeRelV relativeFrom="page">
            <wp14:pctHeight>0</wp14:pctHeight>
          </wp14:sizeRelV>
        </wp:anchor>
      </w:drawing>
    </w:r>
  </w:p>
  <w:p w14:paraId="6B46AB21" w14:textId="2A1873E3" w:rsidR="00575630" w:rsidRDefault="00575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3752"/>
    <w:multiLevelType w:val="hybridMultilevel"/>
    <w:tmpl w:val="1620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F1BC5"/>
    <w:multiLevelType w:val="hybridMultilevel"/>
    <w:tmpl w:val="01EC1EE4"/>
    <w:lvl w:ilvl="0" w:tplc="6B2CEF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83DE5"/>
    <w:multiLevelType w:val="hybridMultilevel"/>
    <w:tmpl w:val="7DB0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E53D6"/>
    <w:multiLevelType w:val="hybridMultilevel"/>
    <w:tmpl w:val="12F0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45921"/>
    <w:multiLevelType w:val="hybridMultilevel"/>
    <w:tmpl w:val="22C8A592"/>
    <w:lvl w:ilvl="0" w:tplc="48BCBF40">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932439"/>
    <w:multiLevelType w:val="hybridMultilevel"/>
    <w:tmpl w:val="8F2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D46CCB"/>
    <w:multiLevelType w:val="hybridMultilevel"/>
    <w:tmpl w:val="CFB26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C6DEF"/>
    <w:multiLevelType w:val="hybridMultilevel"/>
    <w:tmpl w:val="F260D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7745A"/>
    <w:multiLevelType w:val="multilevel"/>
    <w:tmpl w:val="D606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3C5D49"/>
    <w:multiLevelType w:val="hybridMultilevel"/>
    <w:tmpl w:val="1E3A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861EE"/>
    <w:multiLevelType w:val="hybridMultilevel"/>
    <w:tmpl w:val="6D2462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62045E"/>
    <w:multiLevelType w:val="hybridMultilevel"/>
    <w:tmpl w:val="964A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65705"/>
    <w:multiLevelType w:val="hybridMultilevel"/>
    <w:tmpl w:val="5A7CD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DD6BA7"/>
    <w:multiLevelType w:val="hybridMultilevel"/>
    <w:tmpl w:val="7948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6D02"/>
    <w:multiLevelType w:val="hybridMultilevel"/>
    <w:tmpl w:val="97DC6284"/>
    <w:lvl w:ilvl="0" w:tplc="F74CD6A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9550644">
    <w:abstractNumId w:val="14"/>
  </w:num>
  <w:num w:numId="2" w16cid:durableId="1800882148">
    <w:abstractNumId w:val="0"/>
  </w:num>
  <w:num w:numId="3" w16cid:durableId="507209848">
    <w:abstractNumId w:val="7"/>
  </w:num>
  <w:num w:numId="4" w16cid:durableId="1754623379">
    <w:abstractNumId w:val="2"/>
  </w:num>
  <w:num w:numId="5" w16cid:durableId="585260626">
    <w:abstractNumId w:val="3"/>
  </w:num>
  <w:num w:numId="6" w16cid:durableId="1760523085">
    <w:abstractNumId w:val="1"/>
  </w:num>
  <w:num w:numId="7" w16cid:durableId="1630866016">
    <w:abstractNumId w:val="10"/>
  </w:num>
  <w:num w:numId="8" w16cid:durableId="372340772">
    <w:abstractNumId w:val="8"/>
  </w:num>
  <w:num w:numId="9" w16cid:durableId="1146775512">
    <w:abstractNumId w:val="13"/>
  </w:num>
  <w:num w:numId="10" w16cid:durableId="1552689883">
    <w:abstractNumId w:val="4"/>
  </w:num>
  <w:num w:numId="11" w16cid:durableId="1567760647">
    <w:abstractNumId w:val="9"/>
  </w:num>
  <w:num w:numId="12" w16cid:durableId="1911304416">
    <w:abstractNumId w:val="5"/>
  </w:num>
  <w:num w:numId="13" w16cid:durableId="1714423096">
    <w:abstractNumId w:val="6"/>
  </w:num>
  <w:num w:numId="14" w16cid:durableId="1952321552">
    <w:abstractNumId w:val="11"/>
  </w:num>
  <w:num w:numId="15" w16cid:durableId="774179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CD"/>
    <w:rsid w:val="00006507"/>
    <w:rsid w:val="00031110"/>
    <w:rsid w:val="00060405"/>
    <w:rsid w:val="00093C91"/>
    <w:rsid w:val="000E594C"/>
    <w:rsid w:val="000F5891"/>
    <w:rsid w:val="00137BF0"/>
    <w:rsid w:val="0016598F"/>
    <w:rsid w:val="001805E6"/>
    <w:rsid w:val="001F4DB2"/>
    <w:rsid w:val="0023726D"/>
    <w:rsid w:val="0025619D"/>
    <w:rsid w:val="002908AF"/>
    <w:rsid w:val="002C5661"/>
    <w:rsid w:val="002E4C6B"/>
    <w:rsid w:val="00315454"/>
    <w:rsid w:val="003448D1"/>
    <w:rsid w:val="00377749"/>
    <w:rsid w:val="003944C4"/>
    <w:rsid w:val="003A4DE5"/>
    <w:rsid w:val="003B4609"/>
    <w:rsid w:val="003E3857"/>
    <w:rsid w:val="003F2C05"/>
    <w:rsid w:val="0040743A"/>
    <w:rsid w:val="00430F68"/>
    <w:rsid w:val="00456EB9"/>
    <w:rsid w:val="004573D4"/>
    <w:rsid w:val="0046179D"/>
    <w:rsid w:val="0046566D"/>
    <w:rsid w:val="004B4ED8"/>
    <w:rsid w:val="00575630"/>
    <w:rsid w:val="005939CD"/>
    <w:rsid w:val="005C1399"/>
    <w:rsid w:val="006968AD"/>
    <w:rsid w:val="006B3253"/>
    <w:rsid w:val="006D6417"/>
    <w:rsid w:val="00711E44"/>
    <w:rsid w:val="00784027"/>
    <w:rsid w:val="007979CD"/>
    <w:rsid w:val="00797A93"/>
    <w:rsid w:val="00811973"/>
    <w:rsid w:val="00814CDA"/>
    <w:rsid w:val="0084524D"/>
    <w:rsid w:val="00865BE6"/>
    <w:rsid w:val="008779FD"/>
    <w:rsid w:val="00882B6A"/>
    <w:rsid w:val="00925F9C"/>
    <w:rsid w:val="00944C28"/>
    <w:rsid w:val="009F6C34"/>
    <w:rsid w:val="00A15AFF"/>
    <w:rsid w:val="00A91BA8"/>
    <w:rsid w:val="00AA35DA"/>
    <w:rsid w:val="00B44EBB"/>
    <w:rsid w:val="00B63C80"/>
    <w:rsid w:val="00B745FE"/>
    <w:rsid w:val="00BC3C8B"/>
    <w:rsid w:val="00C4598A"/>
    <w:rsid w:val="00CB51F0"/>
    <w:rsid w:val="00CD5B70"/>
    <w:rsid w:val="00CE4F05"/>
    <w:rsid w:val="00D14885"/>
    <w:rsid w:val="00D203BE"/>
    <w:rsid w:val="00D31C8C"/>
    <w:rsid w:val="00D612E1"/>
    <w:rsid w:val="00D81ED8"/>
    <w:rsid w:val="00D87FB0"/>
    <w:rsid w:val="00DB557C"/>
    <w:rsid w:val="00DB74AA"/>
    <w:rsid w:val="00DF094C"/>
    <w:rsid w:val="00E03E26"/>
    <w:rsid w:val="00E15504"/>
    <w:rsid w:val="00E30F2F"/>
    <w:rsid w:val="00E528CD"/>
    <w:rsid w:val="00F167B0"/>
    <w:rsid w:val="00F23749"/>
    <w:rsid w:val="00F34E47"/>
    <w:rsid w:val="00F86A4E"/>
    <w:rsid w:val="00FD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A8EA4"/>
  <w15:chartTrackingRefBased/>
  <w15:docId w15:val="{EBE8078D-BCEC-4176-AE71-A85B7CA6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9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9CD"/>
    <w:pPr>
      <w:ind w:left="720"/>
      <w:contextualSpacing/>
    </w:pPr>
  </w:style>
  <w:style w:type="paragraph" w:styleId="Header">
    <w:name w:val="header"/>
    <w:basedOn w:val="Normal"/>
    <w:link w:val="HeaderChar"/>
    <w:uiPriority w:val="99"/>
    <w:unhideWhenUsed/>
    <w:rsid w:val="00593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9CD"/>
  </w:style>
  <w:style w:type="paragraph" w:styleId="Footer">
    <w:name w:val="footer"/>
    <w:basedOn w:val="Normal"/>
    <w:link w:val="FooterChar"/>
    <w:uiPriority w:val="99"/>
    <w:unhideWhenUsed/>
    <w:rsid w:val="00593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9CD"/>
  </w:style>
  <w:style w:type="character" w:styleId="Hyperlink">
    <w:name w:val="Hyperlink"/>
    <w:basedOn w:val="DefaultParagraphFont"/>
    <w:uiPriority w:val="99"/>
    <w:unhideWhenUsed/>
    <w:rsid w:val="005939CD"/>
    <w:rPr>
      <w:color w:val="0563C1" w:themeColor="hyperlink"/>
      <w:u w:val="single"/>
    </w:rPr>
  </w:style>
  <w:style w:type="table" w:styleId="TableGrid">
    <w:name w:val="Table Grid"/>
    <w:basedOn w:val="TableNormal"/>
    <w:uiPriority w:val="59"/>
    <w:rsid w:val="00593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1">
    <w:name w:val="ParaL1"/>
    <w:basedOn w:val="Normal"/>
    <w:uiPriority w:val="2"/>
    <w:qFormat/>
    <w:rsid w:val="005939CD"/>
    <w:pPr>
      <w:spacing w:before="120" w:after="0" w:line="240" w:lineRule="auto"/>
      <w:ind w:left="600"/>
      <w:jc w:val="both"/>
    </w:pPr>
    <w:rPr>
      <w:rFonts w:cs="Arial"/>
    </w:rPr>
  </w:style>
  <w:style w:type="paragraph" w:styleId="NormalWeb">
    <w:name w:val="Normal (Web)"/>
    <w:basedOn w:val="Normal"/>
    <w:uiPriority w:val="99"/>
    <w:unhideWhenUsed/>
    <w:rsid w:val="005939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C3C8B"/>
    <w:pPr>
      <w:spacing w:after="0" w:line="240" w:lineRule="auto"/>
    </w:pPr>
  </w:style>
  <w:style w:type="character" w:styleId="UnresolvedMention">
    <w:name w:val="Unresolved Mention"/>
    <w:basedOn w:val="DefaultParagraphFont"/>
    <w:uiPriority w:val="99"/>
    <w:semiHidden/>
    <w:unhideWhenUsed/>
    <w:rsid w:val="006B3253"/>
    <w:rPr>
      <w:color w:val="605E5C"/>
      <w:shd w:val="clear" w:color="auto" w:fill="E1DFDD"/>
    </w:rPr>
  </w:style>
  <w:style w:type="paragraph" w:styleId="Revision">
    <w:name w:val="Revision"/>
    <w:hidden/>
    <w:uiPriority w:val="99"/>
    <w:semiHidden/>
    <w:rsid w:val="00925F9C"/>
    <w:pPr>
      <w:spacing w:after="0" w:line="240" w:lineRule="auto"/>
    </w:pPr>
  </w:style>
  <w:style w:type="character" w:styleId="CommentReference">
    <w:name w:val="annotation reference"/>
    <w:basedOn w:val="DefaultParagraphFont"/>
    <w:uiPriority w:val="99"/>
    <w:semiHidden/>
    <w:unhideWhenUsed/>
    <w:rsid w:val="00925F9C"/>
    <w:rPr>
      <w:sz w:val="16"/>
      <w:szCs w:val="16"/>
    </w:rPr>
  </w:style>
  <w:style w:type="paragraph" w:styleId="CommentText">
    <w:name w:val="annotation text"/>
    <w:basedOn w:val="Normal"/>
    <w:link w:val="CommentTextChar"/>
    <w:uiPriority w:val="99"/>
    <w:unhideWhenUsed/>
    <w:rsid w:val="00925F9C"/>
    <w:pPr>
      <w:spacing w:line="240" w:lineRule="auto"/>
    </w:pPr>
    <w:rPr>
      <w:sz w:val="20"/>
      <w:szCs w:val="20"/>
    </w:rPr>
  </w:style>
  <w:style w:type="character" w:customStyle="1" w:styleId="CommentTextChar">
    <w:name w:val="Comment Text Char"/>
    <w:basedOn w:val="DefaultParagraphFont"/>
    <w:link w:val="CommentText"/>
    <w:uiPriority w:val="99"/>
    <w:rsid w:val="00925F9C"/>
    <w:rPr>
      <w:sz w:val="20"/>
      <w:szCs w:val="20"/>
    </w:rPr>
  </w:style>
  <w:style w:type="paragraph" w:styleId="CommentSubject">
    <w:name w:val="annotation subject"/>
    <w:basedOn w:val="CommentText"/>
    <w:next w:val="CommentText"/>
    <w:link w:val="CommentSubjectChar"/>
    <w:uiPriority w:val="99"/>
    <w:semiHidden/>
    <w:unhideWhenUsed/>
    <w:rsid w:val="00925F9C"/>
    <w:rPr>
      <w:b/>
      <w:bCs/>
    </w:rPr>
  </w:style>
  <w:style w:type="character" w:customStyle="1" w:styleId="CommentSubjectChar">
    <w:name w:val="Comment Subject Char"/>
    <w:basedOn w:val="CommentTextChar"/>
    <w:link w:val="CommentSubject"/>
    <w:uiPriority w:val="99"/>
    <w:semiHidden/>
    <w:rsid w:val="00925F9C"/>
    <w:rPr>
      <w:b/>
      <w:bCs/>
      <w:sz w:val="20"/>
      <w:szCs w:val="20"/>
    </w:rPr>
  </w:style>
  <w:style w:type="paragraph" w:styleId="BalloonText">
    <w:name w:val="Balloon Text"/>
    <w:basedOn w:val="Normal"/>
    <w:link w:val="BalloonTextChar"/>
    <w:uiPriority w:val="99"/>
    <w:semiHidden/>
    <w:unhideWhenUsed/>
    <w:rsid w:val="00290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8AF"/>
    <w:rPr>
      <w:rFonts w:ascii="Segoe UI" w:hAnsi="Segoe UI" w:cs="Segoe UI"/>
      <w:sz w:val="18"/>
      <w:szCs w:val="18"/>
    </w:rPr>
  </w:style>
  <w:style w:type="table" w:styleId="TableGridLight">
    <w:name w:val="Grid Table Light"/>
    <w:basedOn w:val="TableNormal"/>
    <w:uiPriority w:val="40"/>
    <w:rsid w:val="00CE4F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A91B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0988">
      <w:bodyDiv w:val="1"/>
      <w:marLeft w:val="0"/>
      <w:marRight w:val="0"/>
      <w:marTop w:val="0"/>
      <w:marBottom w:val="0"/>
      <w:divBdr>
        <w:top w:val="none" w:sz="0" w:space="0" w:color="auto"/>
        <w:left w:val="none" w:sz="0" w:space="0" w:color="auto"/>
        <w:bottom w:val="none" w:sz="0" w:space="0" w:color="auto"/>
        <w:right w:val="none" w:sz="0" w:space="0" w:color="auto"/>
      </w:divBdr>
    </w:div>
    <w:div w:id="492336374">
      <w:bodyDiv w:val="1"/>
      <w:marLeft w:val="0"/>
      <w:marRight w:val="0"/>
      <w:marTop w:val="0"/>
      <w:marBottom w:val="0"/>
      <w:divBdr>
        <w:top w:val="none" w:sz="0" w:space="0" w:color="auto"/>
        <w:left w:val="none" w:sz="0" w:space="0" w:color="auto"/>
        <w:bottom w:val="none" w:sz="0" w:space="0" w:color="auto"/>
        <w:right w:val="none" w:sz="0" w:space="0" w:color="auto"/>
      </w:divBdr>
    </w:div>
    <w:div w:id="995694202">
      <w:bodyDiv w:val="1"/>
      <w:marLeft w:val="0"/>
      <w:marRight w:val="0"/>
      <w:marTop w:val="0"/>
      <w:marBottom w:val="0"/>
      <w:divBdr>
        <w:top w:val="none" w:sz="0" w:space="0" w:color="auto"/>
        <w:left w:val="none" w:sz="0" w:space="0" w:color="auto"/>
        <w:bottom w:val="none" w:sz="0" w:space="0" w:color="auto"/>
        <w:right w:val="none" w:sz="0" w:space="0" w:color="auto"/>
      </w:divBdr>
    </w:div>
    <w:div w:id="998079763">
      <w:bodyDiv w:val="1"/>
      <w:marLeft w:val="0"/>
      <w:marRight w:val="0"/>
      <w:marTop w:val="0"/>
      <w:marBottom w:val="0"/>
      <w:divBdr>
        <w:top w:val="none" w:sz="0" w:space="0" w:color="auto"/>
        <w:left w:val="none" w:sz="0" w:space="0" w:color="auto"/>
        <w:bottom w:val="none" w:sz="0" w:space="0" w:color="auto"/>
        <w:right w:val="none" w:sz="0" w:space="0" w:color="auto"/>
      </w:divBdr>
    </w:div>
    <w:div w:id="1056201433">
      <w:bodyDiv w:val="1"/>
      <w:marLeft w:val="0"/>
      <w:marRight w:val="0"/>
      <w:marTop w:val="0"/>
      <w:marBottom w:val="0"/>
      <w:divBdr>
        <w:top w:val="none" w:sz="0" w:space="0" w:color="auto"/>
        <w:left w:val="none" w:sz="0" w:space="0" w:color="auto"/>
        <w:bottom w:val="none" w:sz="0" w:space="0" w:color="auto"/>
        <w:right w:val="none" w:sz="0" w:space="0" w:color="auto"/>
      </w:divBdr>
    </w:div>
    <w:div w:id="1412121983">
      <w:bodyDiv w:val="1"/>
      <w:marLeft w:val="0"/>
      <w:marRight w:val="0"/>
      <w:marTop w:val="0"/>
      <w:marBottom w:val="0"/>
      <w:divBdr>
        <w:top w:val="none" w:sz="0" w:space="0" w:color="auto"/>
        <w:left w:val="none" w:sz="0" w:space="0" w:color="auto"/>
        <w:bottom w:val="none" w:sz="0" w:space="0" w:color="auto"/>
        <w:right w:val="none" w:sz="0" w:space="0" w:color="auto"/>
      </w:divBdr>
    </w:div>
    <w:div w:id="1822652548">
      <w:bodyDiv w:val="1"/>
      <w:marLeft w:val="0"/>
      <w:marRight w:val="0"/>
      <w:marTop w:val="0"/>
      <w:marBottom w:val="0"/>
      <w:divBdr>
        <w:top w:val="none" w:sz="0" w:space="0" w:color="auto"/>
        <w:left w:val="none" w:sz="0" w:space="0" w:color="auto"/>
        <w:bottom w:val="none" w:sz="0" w:space="0" w:color="auto"/>
        <w:right w:val="none" w:sz="0" w:space="0" w:color="auto"/>
      </w:divBdr>
    </w:div>
    <w:div w:id="1912424697">
      <w:bodyDiv w:val="1"/>
      <w:marLeft w:val="0"/>
      <w:marRight w:val="0"/>
      <w:marTop w:val="0"/>
      <w:marBottom w:val="0"/>
      <w:divBdr>
        <w:top w:val="none" w:sz="0" w:space="0" w:color="auto"/>
        <w:left w:val="none" w:sz="0" w:space="0" w:color="auto"/>
        <w:bottom w:val="none" w:sz="0" w:space="0" w:color="auto"/>
        <w:right w:val="none" w:sz="0" w:space="0" w:color="auto"/>
      </w:divBdr>
    </w:div>
    <w:div w:id="1933853566">
      <w:bodyDiv w:val="1"/>
      <w:marLeft w:val="0"/>
      <w:marRight w:val="0"/>
      <w:marTop w:val="0"/>
      <w:marBottom w:val="0"/>
      <w:divBdr>
        <w:top w:val="none" w:sz="0" w:space="0" w:color="auto"/>
        <w:left w:val="none" w:sz="0" w:space="0" w:color="auto"/>
        <w:bottom w:val="none" w:sz="0" w:space="0" w:color="auto"/>
        <w:right w:val="none" w:sz="0" w:space="0" w:color="auto"/>
      </w:divBdr>
    </w:div>
    <w:div w:id="20882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i-base.info/guides/wp-content/uploads/2024/02/PrEP-guide-UK-Feb-2024-FIN.pdf" TargetMode="External"/><Relationship Id="rId26" Type="http://schemas.openxmlformats.org/officeDocument/2006/relationships/hyperlink" Target="mailto:admin@cliniq.org.uk" TargetMode="External"/><Relationship Id="rId3" Type="http://schemas.openxmlformats.org/officeDocument/2006/relationships/styles" Target="styles.xml"/><Relationship Id="rId21" Type="http://schemas.openxmlformats.org/officeDocument/2006/relationships/hyperlink" Target="https://www.shl.uk/prep" TargetMode="External"/><Relationship Id="rId7" Type="http://schemas.openxmlformats.org/officeDocument/2006/relationships/endnotes" Target="endnotes.xml"/><Relationship Id="rId12" Type="http://schemas.openxmlformats.org/officeDocument/2006/relationships/hyperlink" Target="https://www.shl.uk/" TargetMode="External"/><Relationship Id="rId17" Type="http://schemas.openxmlformats.org/officeDocument/2006/relationships/hyperlink" Target="https://www.bhiva.org/file/5b729cd592060/2018-PrEP-Guidelines.pdf" TargetMode="External"/><Relationship Id="rId25" Type="http://schemas.openxmlformats.org/officeDocument/2006/relationships/hyperlink" Target="https://www.kch.nhs.uk/services/services-a-to-z/camberwell-sexual-health-centr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hyperlink" Target="https://www.nhs.uk/medicines/pre-exposure-prophylaxis-prep/about-pre-exposure-prophylaxis-prep/" TargetMode="External"/><Relationship Id="rId29" Type="http://schemas.openxmlformats.org/officeDocument/2006/relationships/hyperlink" Target="https://www.lewishamandgreenwich.nhs.uk/sexual-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guysandstthomas.nhs.uk/our-services/sexual-health/clinic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mychart.gstt.nhs.uk/GSTT/openscheduling/standalone?dept=10212001&amp;vt=943" TargetMode="External"/><Relationship Id="rId28" Type="http://schemas.openxmlformats.org/officeDocument/2006/relationships/hyperlink" Target="https://nhs.herohealth.net/locations/prep-telehealth-online" TargetMode="External"/><Relationship Id="rId10" Type="http://schemas.openxmlformats.org/officeDocument/2006/relationships/image" Target="media/image3.png"/><Relationship Id="rId19" Type="http://schemas.openxmlformats.org/officeDocument/2006/relationships/hyperlink" Target="https://prepster.inf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svg"/><Relationship Id="rId22" Type="http://schemas.openxmlformats.org/officeDocument/2006/relationships/hyperlink" Target="https://peoplefirstcharter.org/" TargetMode="External"/><Relationship Id="rId27" Type="http://schemas.openxmlformats.org/officeDocument/2006/relationships/hyperlink" Target="https://scanmail.trustwave.com/?c=8248&amp;d=uqDq54VUNPc5wjQSj2TkfhwJXgN0tBSN6wLa6qvhHg&amp;u=https%3a%2f%2fcliniq%2eorg%2euk%2fpep-prep%2f" TargetMode="External"/><Relationship Id="rId30" Type="http://schemas.openxmlformats.org/officeDocument/2006/relationships/hyperlink" Target="https://www.sexualhealthbromley.co.uk/clinics/beckenham-beacon-sexual-health-clinic"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AA8F0-9C00-43EB-8AA1-0091DABB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Guy's and St. Thomas' NHS Foundation Trust</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Stephanie</dc:creator>
  <cp:keywords/>
  <dc:description/>
  <cp:lastModifiedBy>HARRIS, Ruth (BROCKWELL PARK SURGERY)</cp:lastModifiedBy>
  <cp:revision>2</cp:revision>
  <dcterms:created xsi:type="dcterms:W3CDTF">2025-02-21T13:10:00Z</dcterms:created>
  <dcterms:modified xsi:type="dcterms:W3CDTF">2025-02-21T13:10:00Z</dcterms:modified>
</cp:coreProperties>
</file>